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17" w:rsidRDefault="007A3417" w:rsidP="007A3417">
      <w:pPr>
        <w:spacing w:after="120" w:line="269" w:lineRule="auto"/>
        <w:jc w:val="center"/>
        <w:rPr>
          <w:rFonts w:ascii="Gill Sans MT" w:hAnsi="Gill Sans MT"/>
          <w:b/>
        </w:rPr>
      </w:pPr>
      <w:bookmarkStart w:id="0" w:name="_Toc406513510"/>
      <w:r w:rsidRPr="007A3417">
        <w:rPr>
          <w:rFonts w:ascii="Gill Sans MT" w:hAnsi="Gill Sans MT"/>
          <w:b/>
        </w:rPr>
        <w:t xml:space="preserve">EVALUACIÓN </w:t>
      </w:r>
      <w:bookmarkEnd w:id="0"/>
      <w:r w:rsidRPr="007A3417">
        <w:rPr>
          <w:rFonts w:ascii="Gill Sans MT" w:hAnsi="Gill Sans MT"/>
          <w:b/>
        </w:rPr>
        <w:t>DE LA TRANSFERENCIA, EXPANSIÓN Y SOSTENIBILIDAD DEL MODELO MUNICIPIOS Y COMUNIDADES SALUDABLES EN PERÚ</w:t>
      </w:r>
    </w:p>
    <w:p w:rsidR="007A3417" w:rsidRDefault="007A3417" w:rsidP="007A3417">
      <w:pPr>
        <w:spacing w:after="120" w:line="269" w:lineRule="auto"/>
        <w:rPr>
          <w:rFonts w:ascii="Gill Sans MT" w:hAnsi="Gill Sans MT"/>
          <w:b/>
        </w:rPr>
      </w:pPr>
    </w:p>
    <w:p w:rsidR="007A3417" w:rsidRPr="007A3417" w:rsidRDefault="007A3417" w:rsidP="007A3417">
      <w:pPr>
        <w:spacing w:after="120" w:line="269" w:lineRule="auto"/>
        <w:rPr>
          <w:rFonts w:ascii="Gill Sans MT" w:hAnsi="Gill Sans MT"/>
          <w:b/>
        </w:rPr>
      </w:pPr>
      <w:r w:rsidRPr="007A3417">
        <w:rPr>
          <w:rFonts w:ascii="Gill Sans MT" w:hAnsi="Gill Sans MT"/>
          <w:b/>
        </w:rPr>
        <w:t xml:space="preserve">RESUMEN EJECUTIVO </w:t>
      </w:r>
      <w:bookmarkStart w:id="1" w:name="_GoBack"/>
      <w:bookmarkEnd w:id="1"/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PROPÓ</w:t>
      </w:r>
      <w:r w:rsidRPr="00711C46">
        <w:rPr>
          <w:rFonts w:ascii="Gill Sans MT" w:hAnsi="Gill Sans MT"/>
          <w:b/>
        </w:rPr>
        <w:t>SITO DE LA EVALUACIÓN</w:t>
      </w:r>
    </w:p>
    <w:p w:rsidR="007A3417" w:rsidRPr="00711C46" w:rsidRDefault="007A3417" w:rsidP="007A3417">
      <w:pPr>
        <w:pStyle w:val="bodyStyle1"/>
        <w:spacing w:line="269" w:lineRule="auto"/>
        <w:rPr>
          <w:lang w:val="es-PE"/>
        </w:rPr>
      </w:pPr>
      <w:r w:rsidRPr="00711C46">
        <w:rPr>
          <w:lang w:val="es-PE"/>
        </w:rPr>
        <w:t xml:space="preserve">La presente </w:t>
      </w:r>
      <w:r>
        <w:rPr>
          <w:lang w:val="es-PE"/>
        </w:rPr>
        <w:t>e</w:t>
      </w:r>
      <w:r w:rsidRPr="00711C46">
        <w:rPr>
          <w:lang w:val="es-PE"/>
        </w:rPr>
        <w:t xml:space="preserve">valuación </w:t>
      </w:r>
      <w:r>
        <w:rPr>
          <w:lang w:val="es-PE"/>
        </w:rPr>
        <w:t>r</w:t>
      </w:r>
      <w:r w:rsidRPr="00711C46">
        <w:rPr>
          <w:lang w:val="es-PE"/>
        </w:rPr>
        <w:t xml:space="preserve">ápida tiene como objetivo evaluar la transferibilidad y sostenibilidad del modelo de intervención del proyecto Municipios y Comunidades Saludables </w:t>
      </w:r>
      <w:r>
        <w:rPr>
          <w:lang w:val="es-PE"/>
        </w:rPr>
        <w:t xml:space="preserve">II </w:t>
      </w:r>
      <w:r w:rsidRPr="00711C46">
        <w:rPr>
          <w:lang w:val="es-PE"/>
        </w:rPr>
        <w:t>(MCS</w:t>
      </w:r>
      <w:r>
        <w:rPr>
          <w:lang w:val="es-PE"/>
        </w:rPr>
        <w:t xml:space="preserve"> II</w:t>
      </w:r>
      <w:r w:rsidRPr="00711C46">
        <w:rPr>
          <w:lang w:val="es-PE"/>
        </w:rPr>
        <w:t xml:space="preserve">), así como la viabilidad de ser adoptado en otros ámbitos diferentes a la salud.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  <w:b/>
        </w:rPr>
      </w:pPr>
      <w:r w:rsidRPr="00711C46">
        <w:rPr>
          <w:rFonts w:ascii="Gill Sans MT" w:hAnsi="Gill Sans MT"/>
          <w:b/>
        </w:rPr>
        <w:t>PREGUNTAS DE LA EVALUACION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>El informe busca responder a las siguientes preguntas de evaluación:</w:t>
      </w:r>
    </w:p>
    <w:p w:rsidR="007A3417" w:rsidRPr="00711C46" w:rsidRDefault="007A3417" w:rsidP="007A3417">
      <w:pPr>
        <w:pStyle w:val="Prrafodelista"/>
        <w:numPr>
          <w:ilvl w:val="0"/>
          <w:numId w:val="1"/>
        </w:numPr>
        <w:spacing w:after="120" w:line="269" w:lineRule="auto"/>
        <w:rPr>
          <w:rFonts w:ascii="Gill Sans MT" w:hAnsi="Gill Sans MT"/>
          <w:lang w:val="es-ES"/>
        </w:rPr>
      </w:pPr>
      <w:r w:rsidRPr="00711C46">
        <w:rPr>
          <w:rFonts w:ascii="Gill Sans MT" w:eastAsia="Times New Roman" w:hAnsi="Gill Sans MT" w:cstheme="minorHAnsi"/>
          <w:color w:val="000000"/>
          <w:lang w:eastAsia="es-PE"/>
        </w:rPr>
        <w:t>¿Cuál es el “modelo” de MCS de acuerdo a los documentos del proyecto y a lo observado en las localidades geográficas estudiadas</w:t>
      </w:r>
      <w:r>
        <w:rPr>
          <w:rFonts w:ascii="Gill Sans MT" w:eastAsia="Times New Roman" w:hAnsi="Gill Sans MT" w:cstheme="minorHAnsi"/>
          <w:color w:val="000000"/>
          <w:lang w:eastAsia="es-PE"/>
        </w:rPr>
        <w:t>? Analizar la Teoría de Cambio</w:t>
      </w:r>
      <w:r w:rsidRPr="00711C46">
        <w:rPr>
          <w:rFonts w:ascii="Gill Sans MT" w:eastAsia="Times New Roman" w:hAnsi="Gill Sans MT" w:cstheme="minorHAnsi"/>
          <w:color w:val="000000"/>
          <w:lang w:eastAsia="es-PE"/>
        </w:rPr>
        <w:t>, la metodología y los instrumentos del modelo de MCS.</w:t>
      </w:r>
    </w:p>
    <w:p w:rsidR="007A3417" w:rsidRPr="00711C46" w:rsidRDefault="007A3417" w:rsidP="007A3417">
      <w:pPr>
        <w:pStyle w:val="Prrafodelista"/>
        <w:numPr>
          <w:ilvl w:val="0"/>
          <w:numId w:val="1"/>
        </w:numPr>
        <w:spacing w:after="120" w:line="269" w:lineRule="auto"/>
        <w:rPr>
          <w:rFonts w:ascii="Gill Sans MT" w:hAnsi="Gill Sans MT"/>
          <w:lang w:val="es-ES"/>
        </w:rPr>
      </w:pPr>
      <w:r w:rsidRPr="00711C46">
        <w:rPr>
          <w:rFonts w:ascii="Gill Sans MT" w:eastAsia="Times New Roman" w:hAnsi="Gill Sans MT" w:cstheme="minorHAnsi"/>
          <w:color w:val="000000"/>
          <w:lang w:eastAsia="es-PE"/>
        </w:rPr>
        <w:t xml:space="preserve">¿Cuál ha sido el cambio de comportamiento en cada uno de los actores principales involucrados – ej., </w:t>
      </w:r>
      <w:r>
        <w:rPr>
          <w:rFonts w:ascii="Gill Sans MT" w:eastAsia="Times New Roman" w:hAnsi="Gill Sans MT" w:cstheme="minorHAnsi"/>
          <w:color w:val="000000"/>
          <w:lang w:eastAsia="es-PE"/>
        </w:rPr>
        <w:t xml:space="preserve">la </w:t>
      </w:r>
      <w:r w:rsidRPr="00711C46">
        <w:rPr>
          <w:rFonts w:ascii="Gill Sans MT" w:eastAsia="Times New Roman" w:hAnsi="Gill Sans MT" w:cstheme="minorHAnsi"/>
          <w:color w:val="000000"/>
          <w:lang w:eastAsia="es-PE"/>
        </w:rPr>
        <w:t>familia, comunidad – y cuál ha sido el grado de adaptación del “modelo” por las organizaciones gubernamentales y no gubernamentales, locales, regionales y nacionales?</w:t>
      </w:r>
    </w:p>
    <w:p w:rsidR="007A3417" w:rsidRPr="00711C46" w:rsidRDefault="007A3417" w:rsidP="007A3417">
      <w:pPr>
        <w:pStyle w:val="Prrafodelista"/>
        <w:numPr>
          <w:ilvl w:val="0"/>
          <w:numId w:val="1"/>
        </w:numPr>
        <w:spacing w:after="120" w:line="269" w:lineRule="auto"/>
        <w:rPr>
          <w:rFonts w:ascii="Gill Sans MT" w:hAnsi="Gill Sans MT"/>
          <w:lang w:val="es-ES"/>
        </w:rPr>
      </w:pPr>
      <w:r w:rsidRPr="00711C46">
        <w:rPr>
          <w:rFonts w:ascii="Gill Sans MT" w:eastAsia="Times New Roman" w:hAnsi="Gill Sans MT" w:cstheme="minorHAnsi"/>
          <w:color w:val="000000"/>
          <w:lang w:eastAsia="es-PE"/>
        </w:rPr>
        <w:t>¿Puede ser adoptado, transferido y sostenible el “modelo” MCS a otros ámbitos más allá del área de salud? ¿Qué condiciones serían las necesarias?</w:t>
      </w:r>
    </w:p>
    <w:p w:rsidR="007A3417" w:rsidRPr="00711C46" w:rsidRDefault="007A3417" w:rsidP="007A3417">
      <w:pPr>
        <w:pStyle w:val="Prrafodelista"/>
        <w:numPr>
          <w:ilvl w:val="0"/>
          <w:numId w:val="1"/>
        </w:numPr>
        <w:spacing w:after="120" w:line="269" w:lineRule="auto"/>
        <w:rPr>
          <w:rFonts w:ascii="Gill Sans MT" w:hAnsi="Gill Sans MT"/>
          <w:lang w:val="es-ES"/>
        </w:rPr>
      </w:pPr>
      <w:r w:rsidRPr="00711C46">
        <w:rPr>
          <w:rFonts w:ascii="Gill Sans MT" w:eastAsia="Times New Roman" w:hAnsi="Gill Sans MT" w:cstheme="minorHAnsi"/>
          <w:color w:val="000000"/>
          <w:lang w:eastAsia="es-PE"/>
        </w:rPr>
        <w:t>¿Cómo puede el “modelo” ser útil para contribuir al logro de los tres Objetivos de Desarrollo</w:t>
      </w:r>
      <w:r>
        <w:rPr>
          <w:rFonts w:ascii="Gill Sans MT" w:eastAsia="Times New Roman" w:hAnsi="Gill Sans MT" w:cstheme="minorHAnsi"/>
          <w:color w:val="000000"/>
          <w:lang w:eastAsia="es-PE"/>
        </w:rPr>
        <w:t xml:space="preserve"> </w:t>
      </w:r>
      <w:r w:rsidRPr="00711C46">
        <w:rPr>
          <w:rFonts w:ascii="Gill Sans MT" w:eastAsia="Times New Roman" w:hAnsi="Gill Sans MT" w:cstheme="minorHAnsi"/>
          <w:color w:val="000000"/>
          <w:lang w:eastAsia="es-PE"/>
        </w:rPr>
        <w:t xml:space="preserve">de </w:t>
      </w:r>
      <w:r>
        <w:rPr>
          <w:rFonts w:ascii="Gill Sans MT" w:eastAsia="Times New Roman" w:hAnsi="Gill Sans MT" w:cstheme="minorHAnsi"/>
          <w:color w:val="000000"/>
          <w:lang w:eastAsia="es-PE"/>
        </w:rPr>
        <w:t xml:space="preserve">la </w:t>
      </w:r>
      <w:r>
        <w:rPr>
          <w:rFonts w:ascii="Gill Sans MT" w:hAnsi="Gill Sans MT"/>
          <w:lang w:val="es-ES_tradnl"/>
        </w:rPr>
        <w:t>Agencia de los Estados Unidos para el Desarrollo Internacional (</w:t>
      </w:r>
      <w:r w:rsidRPr="00711C46">
        <w:rPr>
          <w:rFonts w:ascii="Gill Sans MT" w:eastAsia="Times New Roman" w:hAnsi="Gill Sans MT" w:cstheme="minorHAnsi"/>
          <w:color w:val="000000"/>
          <w:lang w:eastAsia="es-PE"/>
        </w:rPr>
        <w:t>USAID</w:t>
      </w:r>
      <w:r>
        <w:rPr>
          <w:rFonts w:ascii="Gill Sans MT" w:eastAsia="Times New Roman" w:hAnsi="Gill Sans MT" w:cstheme="minorHAnsi"/>
          <w:color w:val="000000"/>
          <w:lang w:eastAsia="es-PE"/>
        </w:rPr>
        <w:t>)</w:t>
      </w:r>
      <w:r w:rsidRPr="00711C46">
        <w:rPr>
          <w:rFonts w:ascii="Gill Sans MT" w:eastAsia="Times New Roman" w:hAnsi="Gill Sans MT" w:cstheme="minorHAnsi"/>
          <w:color w:val="000000"/>
          <w:lang w:eastAsia="es-PE"/>
        </w:rPr>
        <w:t>?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  <w:b/>
        </w:rPr>
      </w:pPr>
      <w:r w:rsidRPr="00711C46">
        <w:rPr>
          <w:rFonts w:ascii="Gill Sans MT" w:hAnsi="Gill Sans MT"/>
          <w:b/>
        </w:rPr>
        <w:t>ANTECEDENTES</w:t>
      </w:r>
    </w:p>
    <w:p w:rsidR="007A3417" w:rsidRPr="002F5F76" w:rsidRDefault="007A3417" w:rsidP="007A3417">
      <w:pPr>
        <w:pStyle w:val="bodyStyle1"/>
        <w:spacing w:line="269" w:lineRule="auto"/>
        <w:rPr>
          <w:lang w:val="es-PE"/>
        </w:rPr>
      </w:pPr>
      <w:r w:rsidRPr="002F5F76">
        <w:rPr>
          <w:lang w:val="es-PE"/>
        </w:rPr>
        <w:t xml:space="preserve">El objetivo del proyecto de MCS fue “mejorar la salud materna e infantil, la planificación familiar y la salud reproductiva de las comunidades más pobres y vulnerables del Perú, a través de la estrategia Familias, Comunidades y Municipios Saludables”. </w:t>
      </w:r>
    </w:p>
    <w:p w:rsidR="007A3417" w:rsidRPr="00711C46" w:rsidRDefault="007A3417" w:rsidP="007A3417">
      <w:pPr>
        <w:pStyle w:val="bodyStyle1"/>
        <w:spacing w:line="269" w:lineRule="auto"/>
        <w:rPr>
          <w:lang w:val="es-ES"/>
        </w:rPr>
      </w:pPr>
      <w:r w:rsidRPr="00766892">
        <w:rPr>
          <w:lang w:val="es-ES"/>
        </w:rPr>
        <w:t xml:space="preserve">Management </w:t>
      </w:r>
      <w:proofErr w:type="spellStart"/>
      <w:r w:rsidRPr="00766892">
        <w:rPr>
          <w:lang w:val="es-ES"/>
        </w:rPr>
        <w:t>Sciences</w:t>
      </w:r>
      <w:proofErr w:type="spellEnd"/>
      <w:r w:rsidRPr="00766892">
        <w:rPr>
          <w:lang w:val="es-ES"/>
        </w:rPr>
        <w:t xml:space="preserve"> </w:t>
      </w:r>
      <w:proofErr w:type="spellStart"/>
      <w:r w:rsidRPr="00766892">
        <w:rPr>
          <w:lang w:val="es-ES"/>
        </w:rPr>
        <w:t>for</w:t>
      </w:r>
      <w:proofErr w:type="spellEnd"/>
      <w:r w:rsidRPr="00766892">
        <w:rPr>
          <w:lang w:val="es-ES"/>
        </w:rPr>
        <w:t xml:space="preserve"> </w:t>
      </w:r>
      <w:proofErr w:type="spellStart"/>
      <w:r w:rsidRPr="00766892">
        <w:rPr>
          <w:lang w:val="es-ES"/>
        </w:rPr>
        <w:t>Health</w:t>
      </w:r>
      <w:proofErr w:type="spellEnd"/>
      <w:r w:rsidRPr="00766892">
        <w:rPr>
          <w:lang w:val="es-ES"/>
        </w:rPr>
        <w:t xml:space="preserve"> (MSH)</w:t>
      </w:r>
      <w:r w:rsidRPr="00711C46">
        <w:rPr>
          <w:lang w:val="es-ES"/>
        </w:rPr>
        <w:t xml:space="preserve"> ejecutó la fase I del proyecto (MCS I) entre los años 2006 a 2010 como complemento al programa de desarrollo alternativo de USAID/Perú (PDA), para atender las necesidades de salud de las comunidades participantes del PDA a partir de la promoción de cambios de comportamiento individuales y colectivos para alcanzar estilos de vida saludables. Para lograr este objetivo, el proyecto MCS I diseñó una metodología y herramientas prácticas destinadas a las familias, líderes comunales y gobiernos locales. La fase II del proyecto </w:t>
      </w:r>
      <w:r>
        <w:rPr>
          <w:lang w:val="es-ES"/>
        </w:rPr>
        <w:t>-</w:t>
      </w:r>
      <w:r w:rsidRPr="00711C46">
        <w:rPr>
          <w:lang w:val="es-ES"/>
        </w:rPr>
        <w:t>conocida como MCS II</w:t>
      </w:r>
      <w:r>
        <w:rPr>
          <w:lang w:val="es-ES"/>
        </w:rPr>
        <w:t>-</w:t>
      </w:r>
      <w:r w:rsidRPr="00711C46">
        <w:rPr>
          <w:lang w:val="es-ES"/>
        </w:rPr>
        <w:t xml:space="preserve"> implementada entre el 2011 y 2015 incidió en la consolidación, transferencia y expansión de la metodología y herramientas generadas en la fase I. 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 w:cstheme="minorHAnsi"/>
          <w:lang w:val="es-ES"/>
        </w:rPr>
        <w:t xml:space="preserve">MCS II se implementó en las regiones de Huánuco, Ucayali, San Martín, y Ayacucho, y en una zona peri-urbana de Lima. </w:t>
      </w:r>
      <w:r>
        <w:rPr>
          <w:rFonts w:ascii="Gill Sans MT" w:hAnsi="Gill Sans MT" w:cstheme="minorHAnsi"/>
          <w:lang w:val="es-ES"/>
        </w:rPr>
        <w:t>E</w:t>
      </w:r>
      <w:r w:rsidRPr="00711C46">
        <w:rPr>
          <w:rFonts w:ascii="Gill Sans MT" w:hAnsi="Gill Sans MT"/>
        </w:rPr>
        <w:t>n las regiones donde MCS II se implement</w:t>
      </w:r>
      <w:r>
        <w:rPr>
          <w:rFonts w:ascii="Gill Sans MT" w:hAnsi="Gill Sans MT"/>
        </w:rPr>
        <w:t>ó</w:t>
      </w:r>
      <w:r w:rsidRPr="00711C46">
        <w:rPr>
          <w:rFonts w:ascii="Gill Sans MT" w:hAnsi="Gill Sans MT"/>
        </w:rPr>
        <w:t xml:space="preserve">, la mayoría de comunidades abordadas </w:t>
      </w:r>
      <w:r>
        <w:rPr>
          <w:rFonts w:ascii="Gill Sans MT" w:hAnsi="Gill Sans MT"/>
        </w:rPr>
        <w:t>se</w:t>
      </w:r>
      <w:r w:rsidRPr="00711C46">
        <w:rPr>
          <w:rFonts w:ascii="Gill Sans MT" w:hAnsi="Gill Sans MT"/>
        </w:rPr>
        <w:t xml:space="preserve"> encontraban en situación de post erradicación del cultivo de coca.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>Otro importante proceso junto al cual se ha desarrollado el proyecto es la descentralización.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  <w:b/>
        </w:rPr>
      </w:pPr>
      <w:r w:rsidRPr="00711C46">
        <w:rPr>
          <w:rFonts w:ascii="Gill Sans MT" w:hAnsi="Gill Sans MT"/>
          <w:b/>
        </w:rPr>
        <w:t>METODOLOGÍA</w:t>
      </w:r>
    </w:p>
    <w:p w:rsidR="007A3417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 xml:space="preserve">La metodología de esta </w:t>
      </w:r>
      <w:r>
        <w:rPr>
          <w:rFonts w:ascii="Gill Sans MT" w:hAnsi="Gill Sans MT"/>
        </w:rPr>
        <w:t>e</w:t>
      </w:r>
      <w:r w:rsidRPr="00711C46">
        <w:rPr>
          <w:rFonts w:ascii="Gill Sans MT" w:hAnsi="Gill Sans MT"/>
        </w:rPr>
        <w:t xml:space="preserve">valuación </w:t>
      </w:r>
      <w:r>
        <w:rPr>
          <w:rFonts w:ascii="Gill Sans MT" w:hAnsi="Gill Sans MT"/>
        </w:rPr>
        <w:t>r</w:t>
      </w:r>
      <w:r w:rsidRPr="00711C46">
        <w:rPr>
          <w:rFonts w:ascii="Gill Sans MT" w:hAnsi="Gill Sans MT"/>
        </w:rPr>
        <w:t xml:space="preserve">ápida fue fundamentalmente cualitativa y utilizó las entrevistas en profundidad como principal herramienta en una muestra de comunidades seleccionadas. El </w:t>
      </w:r>
      <w:r w:rsidRPr="00711C46">
        <w:rPr>
          <w:rFonts w:ascii="Gill Sans MT" w:hAnsi="Gill Sans MT"/>
        </w:rPr>
        <w:lastRenderedPageBreak/>
        <w:t xml:space="preserve">análisis de la información se realizó utilizando </w:t>
      </w:r>
      <w:r>
        <w:rPr>
          <w:rFonts w:ascii="Gill Sans MT" w:hAnsi="Gill Sans MT"/>
        </w:rPr>
        <w:t xml:space="preserve">los </w:t>
      </w:r>
      <w:r w:rsidRPr="00711C46">
        <w:rPr>
          <w:rFonts w:ascii="Gill Sans MT" w:hAnsi="Gill Sans MT"/>
        </w:rPr>
        <w:t xml:space="preserve">criterios de </w:t>
      </w:r>
      <w:r>
        <w:rPr>
          <w:rFonts w:ascii="Gill Sans MT" w:hAnsi="Gill Sans MT"/>
        </w:rPr>
        <w:t>t</w:t>
      </w:r>
      <w:r w:rsidRPr="00711C46">
        <w:rPr>
          <w:rFonts w:ascii="Gill Sans MT" w:hAnsi="Gill Sans MT"/>
        </w:rPr>
        <w:t xml:space="preserve">ransferencia y </w:t>
      </w:r>
      <w:r>
        <w:rPr>
          <w:rFonts w:ascii="Gill Sans MT" w:hAnsi="Gill Sans MT"/>
        </w:rPr>
        <w:t>s</w:t>
      </w:r>
      <w:r w:rsidRPr="00711C46">
        <w:rPr>
          <w:rFonts w:ascii="Gill Sans MT" w:hAnsi="Gill Sans MT"/>
        </w:rPr>
        <w:t xml:space="preserve">ostenibilidad de la </w:t>
      </w:r>
      <w:r w:rsidRPr="00B05D73">
        <w:rPr>
          <w:rFonts w:ascii="Gill Sans MT" w:hAnsi="Gill Sans MT"/>
          <w:lang w:val="es-ES"/>
        </w:rPr>
        <w:t>Guía Técnica para el proceso de transferencia, expansión y sostenibilidad de la estrategia MCS II (TES</w:t>
      </w:r>
      <w:r>
        <w:rPr>
          <w:rFonts w:ascii="Gill Sans MT" w:hAnsi="Gill Sans MT"/>
          <w:lang w:val="es-ES"/>
        </w:rPr>
        <w:t>)</w:t>
      </w:r>
      <w:r w:rsidRPr="00711C46">
        <w:rPr>
          <w:rFonts w:ascii="Gill Sans MT" w:hAnsi="Gill Sans MT"/>
        </w:rPr>
        <w:t xml:space="preserve">. </w:t>
      </w:r>
    </w:p>
    <w:p w:rsidR="007A3417" w:rsidRDefault="007A3417" w:rsidP="007A3417">
      <w:pPr>
        <w:spacing w:after="120" w:line="269" w:lineRule="auto"/>
        <w:rPr>
          <w:rFonts w:ascii="Gill Sans MT" w:hAnsi="Gill Sans MT"/>
        </w:rPr>
      </w:pP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>La evaluación se dividió en tres fases: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  <w:u w:val="single"/>
        </w:rPr>
        <w:t>Preparación</w:t>
      </w:r>
      <w:r w:rsidRPr="00711C46">
        <w:rPr>
          <w:rFonts w:ascii="Gill Sans MT" w:hAnsi="Gill Sans MT"/>
        </w:rPr>
        <w:t xml:space="preserve">: En un universo de 160 comunidades asentadas en las regiones San Martín, Ucayali, Huánuco y Ayacucho se seleccionaron 24 aleatoriamente (6 por región), con calificaciones de “alto”, “intermedio” y “bajo” </w:t>
      </w:r>
      <w:r>
        <w:rPr>
          <w:rFonts w:ascii="Gill Sans MT" w:hAnsi="Gill Sans MT"/>
        </w:rPr>
        <w:t xml:space="preserve">según </w:t>
      </w:r>
      <w:r w:rsidRPr="00711C46">
        <w:rPr>
          <w:rFonts w:ascii="Gill Sans MT" w:hAnsi="Gill Sans MT"/>
        </w:rPr>
        <w:t>nivel de transferencia del proyecto. Algunas comunidades muy alejadas geográficamente fueron reemplazadas por otras con característica</w:t>
      </w:r>
      <w:r>
        <w:rPr>
          <w:rFonts w:ascii="Gill Sans MT" w:hAnsi="Gill Sans MT"/>
        </w:rPr>
        <w:t>s</w:t>
      </w:r>
      <w:r w:rsidRPr="00711C46">
        <w:rPr>
          <w:rFonts w:ascii="Gill Sans MT" w:hAnsi="Gill Sans MT"/>
        </w:rPr>
        <w:t xml:space="preserve"> similares. Todos los actores se listaron a partir de dicha identificación: (ex) presidentes o responsables de Juntas Vecinales Comunales (JVC), representantes de gobiernos locales, responsables de </w:t>
      </w:r>
      <w:r>
        <w:rPr>
          <w:rFonts w:ascii="Gill Sans MT" w:hAnsi="Gill Sans MT"/>
        </w:rPr>
        <w:t xml:space="preserve">establecimientos de salud </w:t>
      </w:r>
      <w:r w:rsidRPr="00711C46">
        <w:rPr>
          <w:rFonts w:ascii="Gill Sans MT" w:hAnsi="Gill Sans MT"/>
        </w:rPr>
        <w:t xml:space="preserve">y sectores descentralizados, así como representantes de los gobiernos regionales correspondientes.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 xml:space="preserve">Paralelamente se seleccionaron tres </w:t>
      </w:r>
      <w:r>
        <w:rPr>
          <w:rFonts w:ascii="Gill Sans MT" w:hAnsi="Gill Sans MT"/>
        </w:rPr>
        <w:t>o</w:t>
      </w:r>
      <w:r w:rsidRPr="00711C46">
        <w:rPr>
          <w:rFonts w:ascii="Gill Sans MT" w:hAnsi="Gill Sans MT"/>
        </w:rPr>
        <w:t xml:space="preserve">rganizaciones </w:t>
      </w:r>
      <w:r>
        <w:rPr>
          <w:rFonts w:ascii="Gill Sans MT" w:hAnsi="Gill Sans MT"/>
        </w:rPr>
        <w:t>n</w:t>
      </w:r>
      <w:r w:rsidRPr="00711C46">
        <w:rPr>
          <w:rFonts w:ascii="Gill Sans MT" w:hAnsi="Gill Sans MT"/>
        </w:rPr>
        <w:t xml:space="preserve">o </w:t>
      </w:r>
      <w:r>
        <w:rPr>
          <w:rFonts w:ascii="Gill Sans MT" w:hAnsi="Gill Sans MT"/>
        </w:rPr>
        <w:t>g</w:t>
      </w:r>
      <w:r w:rsidRPr="00711C46">
        <w:rPr>
          <w:rFonts w:ascii="Gill Sans MT" w:hAnsi="Gill Sans MT"/>
        </w:rPr>
        <w:t>ubernamentales (ONG) y una empresa privada</w:t>
      </w:r>
      <w:r>
        <w:rPr>
          <w:rFonts w:ascii="Gill Sans MT" w:hAnsi="Gill Sans MT"/>
        </w:rPr>
        <w:t>,</w:t>
      </w:r>
      <w:r w:rsidRPr="00711C46">
        <w:rPr>
          <w:rFonts w:ascii="Gill Sans MT" w:hAnsi="Gill Sans MT"/>
        </w:rPr>
        <w:t xml:space="preserve"> que tuvieron un nivel de contacto con el proyecto y </w:t>
      </w:r>
      <w:r>
        <w:rPr>
          <w:rFonts w:ascii="Gill Sans MT" w:hAnsi="Gill Sans MT"/>
        </w:rPr>
        <w:t xml:space="preserve">habían </w:t>
      </w:r>
      <w:r w:rsidRPr="00711C46">
        <w:rPr>
          <w:rFonts w:ascii="Gill Sans MT" w:hAnsi="Gill Sans MT"/>
        </w:rPr>
        <w:t xml:space="preserve">realizado la adopción de todos o alguno de sus componentes.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 xml:space="preserve">La elaboración de las guías para las entrevistas, estuvo cuidadosamente vinculada a la matriz de consistencia de </w:t>
      </w:r>
      <w:r>
        <w:rPr>
          <w:rFonts w:ascii="Gill Sans MT" w:hAnsi="Gill Sans MT"/>
        </w:rPr>
        <w:t xml:space="preserve">la </w:t>
      </w:r>
      <w:r w:rsidRPr="00711C46">
        <w:rPr>
          <w:rFonts w:ascii="Gill Sans MT" w:hAnsi="Gill Sans MT"/>
        </w:rPr>
        <w:t>evaluación del proyecto</w:t>
      </w:r>
      <w:r>
        <w:rPr>
          <w:rFonts w:ascii="Gill Sans MT" w:hAnsi="Gill Sans MT"/>
        </w:rPr>
        <w:t>,</w:t>
      </w:r>
      <w:r w:rsidRPr="00711C46">
        <w:rPr>
          <w:rFonts w:ascii="Gill Sans MT" w:hAnsi="Gill Sans MT"/>
        </w:rPr>
        <w:t xml:space="preserve"> para asegurar que </w:t>
      </w:r>
      <w:r>
        <w:rPr>
          <w:rFonts w:ascii="Gill Sans MT" w:hAnsi="Gill Sans MT"/>
        </w:rPr>
        <w:t>las</w:t>
      </w:r>
      <w:r w:rsidRPr="00711C46">
        <w:rPr>
          <w:rFonts w:ascii="Gill Sans MT" w:hAnsi="Gill Sans MT"/>
        </w:rPr>
        <w:t xml:space="preserve"> preguntas, instrumentos y fuentes de información (actores a entrevistar) estén </w:t>
      </w:r>
      <w:r>
        <w:rPr>
          <w:rFonts w:ascii="Gill Sans MT" w:hAnsi="Gill Sans MT"/>
        </w:rPr>
        <w:t xml:space="preserve">completas y </w:t>
      </w:r>
      <w:r w:rsidRPr="00711C46">
        <w:rPr>
          <w:rFonts w:ascii="Gill Sans MT" w:hAnsi="Gill Sans MT"/>
        </w:rPr>
        <w:t xml:space="preserve">alineadas </w:t>
      </w:r>
      <w:r>
        <w:rPr>
          <w:rFonts w:ascii="Gill Sans MT" w:hAnsi="Gill Sans MT"/>
        </w:rPr>
        <w:t>al propósito de la evaluación.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  <w:u w:val="single"/>
        </w:rPr>
        <w:t>Campo</w:t>
      </w:r>
      <w:r w:rsidRPr="00711C46">
        <w:rPr>
          <w:rFonts w:ascii="Gill Sans MT" w:hAnsi="Gill Sans MT"/>
        </w:rPr>
        <w:t xml:space="preserve">: Durante 23 días se recorrieron las regiones de Huánuco, Ucayali, San Martín y Ayacucho y se realizaron 71 entrevistas </w:t>
      </w:r>
      <w:r>
        <w:rPr>
          <w:rFonts w:ascii="Gill Sans MT" w:hAnsi="Gill Sans MT"/>
        </w:rPr>
        <w:t>-</w:t>
      </w:r>
      <w:r w:rsidRPr="00711C46">
        <w:rPr>
          <w:rFonts w:ascii="Gill Sans MT" w:hAnsi="Gill Sans MT"/>
        </w:rPr>
        <w:t>86% de lo planificado</w:t>
      </w:r>
      <w:r>
        <w:rPr>
          <w:rFonts w:ascii="Gill Sans MT" w:hAnsi="Gill Sans MT"/>
        </w:rPr>
        <w:t>-</w:t>
      </w:r>
      <w:r w:rsidRPr="00711C46">
        <w:rPr>
          <w:rFonts w:ascii="Gill Sans MT" w:hAnsi="Gill Sans MT"/>
        </w:rPr>
        <w:t xml:space="preserve">. Además se recogieron </w:t>
      </w:r>
      <w:r>
        <w:rPr>
          <w:rFonts w:ascii="Gill Sans MT" w:hAnsi="Gill Sans MT"/>
        </w:rPr>
        <w:t xml:space="preserve">los </w:t>
      </w:r>
      <w:r w:rsidRPr="00711C46">
        <w:rPr>
          <w:rFonts w:ascii="Gill Sans MT" w:hAnsi="Gill Sans MT"/>
        </w:rPr>
        <w:t xml:space="preserve">medios de verificación </w:t>
      </w:r>
      <w:r>
        <w:rPr>
          <w:rFonts w:ascii="Gill Sans MT" w:hAnsi="Gill Sans MT"/>
        </w:rPr>
        <w:t>de</w:t>
      </w:r>
      <w:r w:rsidRPr="00711C46">
        <w:rPr>
          <w:rFonts w:ascii="Gill Sans MT" w:hAnsi="Gill Sans MT"/>
        </w:rPr>
        <w:t xml:space="preserve"> las afirmaciones realizadas en las entrevistas.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</w:rPr>
        <w:t xml:space="preserve">En la ciudad de Lima se entrevistaron representantes sectoriales, de </w:t>
      </w:r>
      <w:r>
        <w:rPr>
          <w:rFonts w:ascii="Gill Sans MT" w:hAnsi="Gill Sans MT"/>
        </w:rPr>
        <w:t xml:space="preserve">la </w:t>
      </w:r>
      <w:r w:rsidRPr="00711C46">
        <w:rPr>
          <w:rFonts w:ascii="Gill Sans MT" w:hAnsi="Gill Sans MT"/>
        </w:rPr>
        <w:t xml:space="preserve">empresa y ONG vinculadas al proyecto evaluado. Asimismo se entrevistó al director del proyecto MCS II y a representantes de USAID, esto último con el objetivo de evaluar la utilidad del modelo MCS </w:t>
      </w:r>
      <w:r>
        <w:rPr>
          <w:rFonts w:ascii="Gill Sans MT" w:hAnsi="Gill Sans MT"/>
        </w:rPr>
        <w:t xml:space="preserve">respecto </w:t>
      </w:r>
      <w:r w:rsidRPr="00711C46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sus programas</w:t>
      </w:r>
      <w:r w:rsidRPr="00711C46">
        <w:rPr>
          <w:rFonts w:ascii="Gill Sans MT" w:hAnsi="Gill Sans MT"/>
        </w:rPr>
        <w:t>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</w:rPr>
      </w:pPr>
      <w:r w:rsidRPr="00711C46">
        <w:rPr>
          <w:rFonts w:ascii="Gill Sans MT" w:hAnsi="Gill Sans MT"/>
          <w:u w:val="single"/>
        </w:rPr>
        <w:t>Procesamiento de la información</w:t>
      </w:r>
      <w:r w:rsidRPr="00711C46">
        <w:rPr>
          <w:rFonts w:ascii="Gill Sans MT" w:hAnsi="Gill Sans MT"/>
        </w:rPr>
        <w:t xml:space="preserve">: Se utilizaron dos técnicas principales: la triangulación de resultados y una adaptación de la Guía TES circunscrita a </w:t>
      </w:r>
      <w:r>
        <w:rPr>
          <w:rFonts w:ascii="Gill Sans MT" w:hAnsi="Gill Sans MT"/>
        </w:rPr>
        <w:t>los componentes de transferencia y sostenibilidad</w:t>
      </w:r>
      <w:r w:rsidRPr="00711C46">
        <w:rPr>
          <w:rFonts w:ascii="Gill Sans MT" w:hAnsi="Gill Sans MT"/>
        </w:rPr>
        <w:t>. De este modo, para la resolución de la pregunta 1, se realizó una descripción del modelo según lo analizado en la evaluación. Para las preguntas 2 y 3 se consideraron criterios de transferencia de la Guía TES para medir el grado de adaptación del modelo y la capacidad de transferencia a otros sectores. Para la pregunta 4 se alinearon los criterios evaluados en las otras preguntas con los OD de USAID.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/>
          <w:b/>
          <w:lang w:val="es-ES"/>
        </w:rPr>
      </w:pPr>
      <w:r w:rsidRPr="00711C46">
        <w:rPr>
          <w:rFonts w:ascii="Gill Sans MT" w:hAnsi="Gill Sans MT"/>
          <w:b/>
          <w:lang w:val="es-ES"/>
        </w:rPr>
        <w:t>HALLAZGOS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/>
          <w:b/>
          <w:sz w:val="21"/>
          <w:szCs w:val="21"/>
        </w:rPr>
      </w:pPr>
      <w:r w:rsidRPr="002B3200">
        <w:rPr>
          <w:rFonts w:ascii="Gill Sans MT" w:hAnsi="Gill Sans MT"/>
          <w:b/>
          <w:sz w:val="21"/>
          <w:szCs w:val="21"/>
        </w:rPr>
        <w:t xml:space="preserve">Pregunta 1: </w:t>
      </w:r>
      <w:r w:rsidRPr="002B3200">
        <w:rPr>
          <w:rFonts w:ascii="Gill Sans MT" w:hAnsi="Gill Sans MT"/>
          <w:b/>
          <w:color w:val="000000"/>
          <w:sz w:val="21"/>
          <w:szCs w:val="21"/>
        </w:rPr>
        <w:t>¿Cuál es el “modelo” de MCS de acuerdo a los documentos del proyecto y a lo observado en las localidades geográficas estudiadas?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/>
        </w:rPr>
        <w:t>Según los documentos del proyecto, el modelo evaluado se resume en el siguiente concepto</w:t>
      </w:r>
      <w:r w:rsidRPr="00711C46">
        <w:rPr>
          <w:rStyle w:val="Refdenotaalpie"/>
          <w:rFonts w:ascii="Gill Sans MT" w:hAnsi="Gill Sans MT" w:cstheme="minorHAnsi"/>
          <w:lang w:val="es-ES"/>
        </w:rPr>
        <w:footnoteReference w:id="1"/>
      </w:r>
      <w:r w:rsidRPr="00711C46">
        <w:rPr>
          <w:rFonts w:ascii="Gill Sans MT" w:hAnsi="Gill Sans MT"/>
        </w:rPr>
        <w:t xml:space="preserve">: </w:t>
      </w:r>
      <w:r w:rsidRPr="00711C46">
        <w:rPr>
          <w:rFonts w:ascii="Gill Sans MT" w:hAnsi="Gill Sans MT"/>
          <w:iCs/>
          <w:lang w:val="es-ES"/>
        </w:rPr>
        <w:t>“…</w:t>
      </w:r>
      <w:r w:rsidRPr="00711C46">
        <w:rPr>
          <w:rFonts w:ascii="Gill Sans MT" w:hAnsi="Gill Sans MT"/>
          <w:lang w:val="es-ES"/>
        </w:rPr>
        <w:t xml:space="preserve">promueve el empoderamiento de las </w:t>
      </w:r>
      <w:r w:rsidRPr="00711C46">
        <w:rPr>
          <w:rFonts w:ascii="Gill Sans MT" w:hAnsi="Gill Sans MT" w:cstheme="minorHAnsi"/>
          <w:lang w:val="es-ES"/>
        </w:rPr>
        <w:t xml:space="preserve">familias respecto al autocuidado de su salud y entorno </w:t>
      </w:r>
      <w:r w:rsidRPr="00711C46">
        <w:rPr>
          <w:rFonts w:ascii="Gill Sans MT" w:hAnsi="Gill Sans MT" w:cstheme="minorHAnsi"/>
          <w:lang w:val="es-ES"/>
        </w:rPr>
        <w:lastRenderedPageBreak/>
        <w:t>inmediato; las que a su vez reconocen a la JVC como responsable de la vigilancia comunitaria y su representante organizacional en las negociaciones/incidencia con el gobierno local y/o los responsables sectoriales de todos los servicios públicos que se ofertan en su territorio; sectores que además se encuentran integrados en un comité multisectorial local, reconocido formalmente por el gobierno local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cuya actividad fundamental consiste en monitorear el desenvolvimiento de la JVC y reportarlo al gobierno local.”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Esta </w:t>
      </w:r>
      <w:r>
        <w:rPr>
          <w:rFonts w:ascii="Gill Sans MT" w:hAnsi="Gill Sans MT" w:cstheme="minorHAnsi"/>
          <w:lang w:val="es-ES"/>
        </w:rPr>
        <w:t>evaluación</w:t>
      </w:r>
      <w:r w:rsidRPr="00711C46">
        <w:rPr>
          <w:rFonts w:ascii="Gill Sans MT" w:hAnsi="Gill Sans MT" w:cstheme="minorHAnsi"/>
          <w:lang w:val="es-ES"/>
        </w:rPr>
        <w:t xml:space="preserve"> encontró </w:t>
      </w:r>
      <w:r>
        <w:rPr>
          <w:rFonts w:ascii="Gill Sans MT" w:hAnsi="Gill Sans MT" w:cstheme="minorHAnsi"/>
          <w:lang w:val="es-ES"/>
        </w:rPr>
        <w:t xml:space="preserve">que </w:t>
      </w:r>
      <w:r w:rsidRPr="00711C46">
        <w:rPr>
          <w:rFonts w:ascii="Gill Sans MT" w:hAnsi="Gill Sans MT" w:cstheme="minorHAnsi"/>
          <w:lang w:val="es-ES"/>
        </w:rPr>
        <w:t xml:space="preserve">el modelo MCS </w:t>
      </w:r>
      <w:r>
        <w:rPr>
          <w:rFonts w:ascii="Gill Sans MT" w:hAnsi="Gill Sans MT" w:cstheme="minorHAnsi"/>
          <w:lang w:val="es-ES"/>
        </w:rPr>
        <w:t xml:space="preserve">se ha </w:t>
      </w:r>
      <w:r w:rsidRPr="00711C46">
        <w:rPr>
          <w:rFonts w:ascii="Gill Sans MT" w:hAnsi="Gill Sans MT" w:cstheme="minorHAnsi"/>
          <w:lang w:val="es-ES"/>
        </w:rPr>
        <w:t xml:space="preserve">adoptado según las diferentes condiciones del contexto tales como: procesos </w:t>
      </w:r>
      <w:r>
        <w:rPr>
          <w:rFonts w:ascii="Gill Sans MT" w:hAnsi="Gill Sans MT" w:cstheme="minorHAnsi"/>
          <w:lang w:val="es-ES"/>
        </w:rPr>
        <w:t>avanzados</w:t>
      </w:r>
      <w:r w:rsidRPr="00711C46">
        <w:rPr>
          <w:rFonts w:ascii="Gill Sans MT" w:hAnsi="Gill Sans MT" w:cstheme="minorHAnsi"/>
          <w:lang w:val="es-ES"/>
        </w:rPr>
        <w:t xml:space="preserve"> de descentralización, estrategias de </w:t>
      </w:r>
      <w:r>
        <w:rPr>
          <w:rFonts w:ascii="Gill Sans MT" w:hAnsi="Gill Sans MT" w:cstheme="minorHAnsi"/>
          <w:lang w:val="es-ES"/>
        </w:rPr>
        <w:t>de</w:t>
      </w:r>
      <w:r w:rsidRPr="00711C46">
        <w:rPr>
          <w:rFonts w:ascii="Gill Sans MT" w:hAnsi="Gill Sans MT" w:cstheme="minorHAnsi"/>
          <w:lang w:val="es-ES"/>
        </w:rPr>
        <w:t xml:space="preserve">sarrollo </w:t>
      </w:r>
      <w:r>
        <w:rPr>
          <w:rFonts w:ascii="Gill Sans MT" w:hAnsi="Gill Sans MT" w:cstheme="minorHAnsi"/>
          <w:lang w:val="es-ES"/>
        </w:rPr>
        <w:t>a</w:t>
      </w:r>
      <w:r w:rsidRPr="00711C46">
        <w:rPr>
          <w:rFonts w:ascii="Gill Sans MT" w:hAnsi="Gill Sans MT" w:cstheme="minorHAnsi"/>
          <w:lang w:val="es-ES"/>
        </w:rPr>
        <w:t xml:space="preserve">lternativo, prácticas de </w:t>
      </w:r>
      <w:r>
        <w:rPr>
          <w:rFonts w:ascii="Gill Sans MT" w:hAnsi="Gill Sans MT" w:cstheme="minorHAnsi"/>
          <w:lang w:val="es-ES"/>
        </w:rPr>
        <w:t>r</w:t>
      </w:r>
      <w:r w:rsidRPr="00711C46">
        <w:rPr>
          <w:rFonts w:ascii="Gill Sans MT" w:hAnsi="Gill Sans MT" w:cstheme="minorHAnsi"/>
          <w:lang w:val="es-ES"/>
        </w:rPr>
        <w:t xml:space="preserve">esponsabilidad </w:t>
      </w:r>
      <w:r>
        <w:rPr>
          <w:rFonts w:ascii="Gill Sans MT" w:hAnsi="Gill Sans MT" w:cstheme="minorHAnsi"/>
          <w:lang w:val="es-ES"/>
        </w:rPr>
        <w:t>s</w:t>
      </w:r>
      <w:r w:rsidRPr="00711C46">
        <w:rPr>
          <w:rFonts w:ascii="Gill Sans MT" w:hAnsi="Gill Sans MT" w:cstheme="minorHAnsi"/>
          <w:lang w:val="es-ES"/>
        </w:rPr>
        <w:t xml:space="preserve">ocial </w:t>
      </w:r>
      <w:r>
        <w:rPr>
          <w:rFonts w:ascii="Gill Sans MT" w:hAnsi="Gill Sans MT" w:cstheme="minorHAnsi"/>
          <w:lang w:val="es-ES"/>
        </w:rPr>
        <w:t>e</w:t>
      </w:r>
      <w:r w:rsidRPr="00711C46">
        <w:rPr>
          <w:rFonts w:ascii="Gill Sans MT" w:hAnsi="Gill Sans MT" w:cstheme="minorHAnsi"/>
          <w:lang w:val="es-ES"/>
        </w:rPr>
        <w:t xml:space="preserve">mpresarial, entre otras.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De este modo se encontraron cinco estructuras o “cadenas” de adopción del modelo MCS. La primera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1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es la cadena de adopción completa que articula </w:t>
      </w:r>
      <w:r>
        <w:rPr>
          <w:rFonts w:ascii="Gill Sans MT" w:hAnsi="Gill Sans MT" w:cstheme="minorHAnsi"/>
          <w:lang w:val="es-ES"/>
        </w:rPr>
        <w:t>los niveles de</w:t>
      </w:r>
      <w:r w:rsidRPr="00711C46">
        <w:rPr>
          <w:rFonts w:ascii="Gill Sans MT" w:hAnsi="Gill Sans MT" w:cstheme="minorHAnsi"/>
          <w:lang w:val="es-ES"/>
        </w:rPr>
        <w:t xml:space="preserve"> gobierno </w:t>
      </w:r>
      <w:r>
        <w:rPr>
          <w:rFonts w:ascii="Gill Sans MT" w:hAnsi="Gill Sans MT" w:cstheme="minorHAnsi"/>
          <w:lang w:val="es-ES"/>
        </w:rPr>
        <w:t>en</w:t>
      </w:r>
      <w:r w:rsidRPr="00711C46">
        <w:rPr>
          <w:rFonts w:ascii="Gill Sans MT" w:hAnsi="Gill Sans MT" w:cstheme="minorHAnsi"/>
          <w:lang w:val="es-ES"/>
        </w:rPr>
        <w:t xml:space="preserve"> San Martín</w:t>
      </w:r>
      <w:r>
        <w:rPr>
          <w:rFonts w:ascii="Gill Sans MT" w:hAnsi="Gill Sans MT" w:cstheme="minorHAnsi"/>
          <w:lang w:val="es-ES"/>
        </w:rPr>
        <w:t>, donde el gobierno regional está</w:t>
      </w:r>
      <w:r w:rsidRPr="00711C46">
        <w:rPr>
          <w:rFonts w:ascii="Gill Sans MT" w:hAnsi="Gill Sans MT" w:cstheme="minorHAnsi"/>
          <w:lang w:val="es-ES"/>
        </w:rPr>
        <w:t xml:space="preserve"> liderando la transferencia y brindando sostenibilidad mediante estructuras normativas para sus provincias y distritos. A su vez las comunidades se fortalecen y empoderan mediante la institucionalización de las JVC que actúan como representantes de las familias.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La segunda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2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es la cadena de adopción local pública (</w:t>
      </w:r>
      <w:proofErr w:type="spellStart"/>
      <w:r w:rsidRPr="00711C46">
        <w:rPr>
          <w:rFonts w:ascii="Gill Sans MT" w:hAnsi="Gill Sans MT" w:cstheme="minorHAnsi"/>
          <w:lang w:val="es-ES"/>
        </w:rPr>
        <w:t>ALPub</w:t>
      </w:r>
      <w:proofErr w:type="spellEnd"/>
      <w:r w:rsidRPr="00711C46">
        <w:rPr>
          <w:rFonts w:ascii="Gill Sans MT" w:hAnsi="Gill Sans MT" w:cstheme="minorHAnsi"/>
          <w:lang w:val="es-ES"/>
        </w:rPr>
        <w:t>) lide</w:t>
      </w:r>
      <w:r>
        <w:rPr>
          <w:rFonts w:ascii="Gill Sans MT" w:hAnsi="Gill Sans MT" w:cstheme="minorHAnsi"/>
          <w:lang w:val="es-ES"/>
        </w:rPr>
        <w:t>rada por los gobiernos locales</w:t>
      </w:r>
      <w:r w:rsidRPr="00711C46">
        <w:rPr>
          <w:rFonts w:ascii="Gill Sans MT" w:hAnsi="Gill Sans MT" w:cstheme="minorHAnsi"/>
          <w:lang w:val="es-ES"/>
        </w:rPr>
        <w:t xml:space="preserve"> de Ayacucho y los gobiernos locales de </w:t>
      </w:r>
      <w:proofErr w:type="spellStart"/>
      <w:r w:rsidRPr="00711C46">
        <w:rPr>
          <w:rFonts w:ascii="Gill Sans MT" w:hAnsi="Gill Sans MT" w:cstheme="minorHAnsi"/>
          <w:lang w:val="es-ES"/>
        </w:rPr>
        <w:t>Irazola</w:t>
      </w:r>
      <w:proofErr w:type="spellEnd"/>
      <w:r w:rsidRPr="00711C46">
        <w:rPr>
          <w:rFonts w:ascii="Gill Sans MT" w:hAnsi="Gill Sans MT" w:cstheme="minorHAnsi"/>
          <w:lang w:val="es-ES"/>
        </w:rPr>
        <w:t xml:space="preserve"> y Campoverde en Ucayali. En este esquema los gobiernos regionales no están presentes por lo que el componente de institucionalidad que favorece la sostenibilidad es menor en esta cadena.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La tercera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3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corresponde a la cadena de adopción parcial con liderazgo de organismo público nacional (</w:t>
      </w:r>
      <w:proofErr w:type="spellStart"/>
      <w:r w:rsidRPr="00711C46">
        <w:rPr>
          <w:rFonts w:ascii="Gill Sans MT" w:hAnsi="Gill Sans MT" w:cstheme="minorHAnsi"/>
          <w:lang w:val="es-ES"/>
        </w:rPr>
        <w:t>APPub</w:t>
      </w:r>
      <w:proofErr w:type="spellEnd"/>
      <w:r w:rsidRPr="00711C46">
        <w:rPr>
          <w:rFonts w:ascii="Gill Sans MT" w:hAnsi="Gill Sans MT" w:cstheme="minorHAnsi"/>
          <w:lang w:val="es-ES"/>
        </w:rPr>
        <w:t>) donde la Comisión Nacional para el Desarrollo y Vida Sin Drogas (DEVIDA) lideró las intervenciones en cambio de comportamiento directamente con las JVC y las familias, sin el acompañamiento de los gobiernos regionales y un débil liderazgo de los gobiernos locales. Este caso se observó en la región de Huánuco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distrito de Monzón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y </w:t>
      </w:r>
      <w:r>
        <w:rPr>
          <w:rFonts w:ascii="Gill Sans MT" w:hAnsi="Gill Sans MT" w:cstheme="minorHAnsi"/>
          <w:lang w:val="es-ES"/>
        </w:rPr>
        <w:t xml:space="preserve">en </w:t>
      </w:r>
      <w:r w:rsidRPr="00711C46">
        <w:rPr>
          <w:rFonts w:ascii="Gill Sans MT" w:hAnsi="Gill Sans MT" w:cstheme="minorHAnsi"/>
          <w:lang w:val="es-ES"/>
        </w:rPr>
        <w:t>el distrito de Padre Abad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en Ucayali.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La cuarta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4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es la cadena de adopción parcial privad</w:t>
      </w:r>
      <w:r>
        <w:rPr>
          <w:rFonts w:ascii="Gill Sans MT" w:hAnsi="Gill Sans MT" w:cstheme="minorHAnsi"/>
          <w:lang w:val="es-ES"/>
        </w:rPr>
        <w:t>a-</w:t>
      </w:r>
      <w:r w:rsidRPr="00711C46">
        <w:rPr>
          <w:rFonts w:ascii="Gill Sans MT" w:hAnsi="Gill Sans MT" w:cstheme="minorHAnsi"/>
          <w:lang w:val="es-ES"/>
        </w:rPr>
        <w:t xml:space="preserve">pública (APPP) donde </w:t>
      </w:r>
      <w:r>
        <w:rPr>
          <w:rFonts w:ascii="Gill Sans MT" w:hAnsi="Gill Sans MT" w:cstheme="minorHAnsi"/>
          <w:lang w:val="es-ES"/>
        </w:rPr>
        <w:t>la Asociación Andina de Cementos Lima (</w:t>
      </w:r>
      <w:r w:rsidRPr="00711C46">
        <w:rPr>
          <w:rFonts w:ascii="Gill Sans MT" w:hAnsi="Gill Sans MT" w:cstheme="minorHAnsi"/>
          <w:lang w:val="es-ES"/>
        </w:rPr>
        <w:t>UNACEM</w:t>
      </w:r>
      <w:r>
        <w:rPr>
          <w:rFonts w:ascii="Gill Sans MT" w:hAnsi="Gill Sans MT" w:cstheme="minorHAnsi"/>
          <w:lang w:val="es-ES"/>
        </w:rPr>
        <w:t>)</w:t>
      </w:r>
      <w:r w:rsidRPr="00711C46">
        <w:rPr>
          <w:rFonts w:ascii="Gill Sans MT" w:hAnsi="Gill Sans MT" w:cstheme="minorHAnsi"/>
          <w:lang w:val="es-ES"/>
        </w:rPr>
        <w:t xml:space="preserve">, dentro de sus prácticas de responsabilidad social empresarial, hacía incidencia en el cambio de comportamiento de salud directamente con las familias, firmando acuerdos con </w:t>
      </w:r>
      <w:r>
        <w:rPr>
          <w:rFonts w:ascii="Gill Sans MT" w:hAnsi="Gill Sans MT" w:cstheme="minorHAnsi"/>
          <w:lang w:val="es-ES"/>
        </w:rPr>
        <w:t>los</w:t>
      </w:r>
      <w:r w:rsidRPr="00711C46">
        <w:rPr>
          <w:rFonts w:ascii="Gill Sans MT" w:hAnsi="Gill Sans MT" w:cstheme="minorHAnsi"/>
          <w:lang w:val="es-ES"/>
        </w:rPr>
        <w:t xml:space="preserve"> </w:t>
      </w:r>
      <w:r>
        <w:rPr>
          <w:rFonts w:ascii="Gill Sans MT" w:hAnsi="Gill Sans MT" w:cstheme="minorHAnsi"/>
          <w:lang w:val="es-ES"/>
        </w:rPr>
        <w:t xml:space="preserve">establecimientos de </w:t>
      </w:r>
      <w:r w:rsidRPr="00711C46">
        <w:rPr>
          <w:rFonts w:ascii="Gill Sans MT" w:hAnsi="Gill Sans MT" w:cstheme="minorHAnsi"/>
          <w:lang w:val="es-ES"/>
        </w:rPr>
        <w:t xml:space="preserve">salud y el apoyo de las Juntas Vecinales.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Finalmente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5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, encontramos la cadena de adopción parcial privada (</w:t>
      </w:r>
      <w:proofErr w:type="spellStart"/>
      <w:r w:rsidRPr="00711C46">
        <w:rPr>
          <w:rFonts w:ascii="Gill Sans MT" w:hAnsi="Gill Sans MT" w:cstheme="minorHAnsi"/>
          <w:lang w:val="es-ES"/>
        </w:rPr>
        <w:t>APPriv</w:t>
      </w:r>
      <w:proofErr w:type="spellEnd"/>
      <w:r w:rsidRPr="00711C46">
        <w:rPr>
          <w:rFonts w:ascii="Gill Sans MT" w:hAnsi="Gill Sans MT" w:cstheme="minorHAnsi"/>
          <w:lang w:val="es-ES"/>
        </w:rPr>
        <w:t>) donde el liderazgo fue asumido por ONG quienes directamente interactuaron con gobiernos locales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transfiriendo el paquete</w:t>
      </w:r>
      <w:r>
        <w:rPr>
          <w:rFonts w:ascii="Gill Sans MT" w:hAnsi="Gill Sans MT" w:cstheme="minorHAnsi"/>
          <w:lang w:val="es-ES"/>
        </w:rPr>
        <w:t xml:space="preserve"> metodológico para el</w:t>
      </w:r>
      <w:r w:rsidRPr="00711C46">
        <w:rPr>
          <w:rFonts w:ascii="Gill Sans MT" w:hAnsi="Gill Sans MT" w:cstheme="minorHAnsi"/>
          <w:lang w:val="es-ES"/>
        </w:rPr>
        <w:t xml:space="preserve"> desarrollo de proyectos de inversión pública de MCS II.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/>
          <w:b/>
          <w:sz w:val="21"/>
          <w:szCs w:val="21"/>
          <w:lang w:val="es-ES"/>
        </w:rPr>
      </w:pPr>
      <w:r w:rsidRPr="002B3200">
        <w:rPr>
          <w:rFonts w:ascii="Gill Sans MT" w:hAnsi="Gill Sans MT"/>
          <w:b/>
          <w:sz w:val="21"/>
          <w:szCs w:val="21"/>
          <w:lang w:val="es-ES"/>
        </w:rPr>
        <w:t xml:space="preserve">Pregunta 2: </w:t>
      </w:r>
      <w:r w:rsidRPr="002B3200">
        <w:rPr>
          <w:rFonts w:ascii="Gill Sans MT" w:hAnsi="Gill Sans MT"/>
          <w:b/>
          <w:color w:val="000000"/>
          <w:sz w:val="21"/>
          <w:szCs w:val="21"/>
        </w:rPr>
        <w:t>¿Cuál ha sido el cambio de comportamiento en cada uno de los actores principales involucrados y cuál ha sido el grado de adaptación del “modelo” por las organizaciones gubernamentales y no gubernamentales, locales, regionales y nacionales?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Se consideraron principales actores involucrados a los gobiernos locales </w:t>
      </w:r>
      <w:r>
        <w:rPr>
          <w:rFonts w:ascii="Gill Sans MT" w:hAnsi="Gill Sans MT" w:cstheme="minorHAnsi"/>
          <w:lang w:val="es-ES"/>
        </w:rPr>
        <w:t>–</w:t>
      </w:r>
      <w:r w:rsidRPr="00711C46">
        <w:rPr>
          <w:rFonts w:ascii="Gill Sans MT" w:hAnsi="Gill Sans MT" w:cstheme="minorHAnsi"/>
          <w:lang w:val="es-ES"/>
        </w:rPr>
        <w:t>municipios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y comunidades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</w:t>
      </w:r>
      <w:r>
        <w:rPr>
          <w:rFonts w:ascii="Gill Sans MT" w:hAnsi="Gill Sans MT" w:cstheme="minorHAnsi"/>
          <w:lang w:val="es-ES"/>
        </w:rPr>
        <w:t>con</w:t>
      </w:r>
      <w:r w:rsidRPr="00711C46">
        <w:rPr>
          <w:rFonts w:ascii="Gill Sans MT" w:hAnsi="Gill Sans MT" w:cstheme="minorHAnsi"/>
          <w:lang w:val="es-ES"/>
        </w:rPr>
        <w:t xml:space="preserve"> los siguientes hallazgos </w:t>
      </w:r>
      <w:r>
        <w:rPr>
          <w:rFonts w:ascii="Gill Sans MT" w:hAnsi="Gill Sans MT" w:cstheme="minorHAnsi"/>
          <w:lang w:val="es-ES"/>
        </w:rPr>
        <w:t>sobre cambio de comportamientos</w:t>
      </w:r>
      <w:r w:rsidRPr="00711C46">
        <w:rPr>
          <w:rFonts w:ascii="Gill Sans MT" w:hAnsi="Gill Sans MT" w:cstheme="minorHAnsi"/>
          <w:lang w:val="es-ES"/>
        </w:rPr>
        <w:t>.  A nivel de comunidades se recuperaron las faenas comunales, pero sobretodo se empoderó a las JVC</w:t>
      </w:r>
      <w:r>
        <w:rPr>
          <w:rFonts w:ascii="Gill Sans MT" w:hAnsi="Gill Sans MT" w:cstheme="minorHAnsi"/>
          <w:lang w:val="es-ES"/>
        </w:rPr>
        <w:t>. E</w:t>
      </w:r>
      <w:r w:rsidRPr="00711C46">
        <w:rPr>
          <w:rFonts w:ascii="Gill Sans MT" w:hAnsi="Gill Sans MT" w:cstheme="minorHAnsi"/>
          <w:lang w:val="es-ES"/>
        </w:rPr>
        <w:t xml:space="preserve">n el caso específico de Monzón, </w:t>
      </w:r>
      <w:r>
        <w:rPr>
          <w:rFonts w:ascii="Gill Sans MT" w:hAnsi="Gill Sans MT" w:cstheme="minorHAnsi"/>
          <w:lang w:val="es-ES"/>
        </w:rPr>
        <w:t>las JVC llegaron a</w:t>
      </w:r>
      <w:r w:rsidRPr="00711C46">
        <w:rPr>
          <w:rFonts w:ascii="Gill Sans MT" w:hAnsi="Gill Sans MT" w:cstheme="minorHAnsi"/>
          <w:lang w:val="es-ES"/>
        </w:rPr>
        <w:t xml:space="preserve"> presentar proyectos en el presupuesto participativo del gobierno local y actualmente monitorean su avance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con el apoyo de DEVIDA. A nivel </w:t>
      </w:r>
      <w:r>
        <w:rPr>
          <w:rFonts w:ascii="Gill Sans MT" w:hAnsi="Gill Sans MT" w:cstheme="minorHAnsi"/>
          <w:lang w:val="es-ES"/>
        </w:rPr>
        <w:t xml:space="preserve">local, </w:t>
      </w:r>
      <w:r w:rsidRPr="00711C46">
        <w:rPr>
          <w:rFonts w:ascii="Gill Sans MT" w:hAnsi="Gill Sans MT" w:cstheme="minorHAnsi"/>
          <w:lang w:val="es-ES"/>
        </w:rPr>
        <w:t xml:space="preserve">el comité multisectorial habría brindado a los </w:t>
      </w:r>
      <w:r>
        <w:rPr>
          <w:rFonts w:ascii="Gill Sans MT" w:hAnsi="Gill Sans MT" w:cstheme="minorHAnsi"/>
          <w:lang w:val="es-ES"/>
        </w:rPr>
        <w:t>gobiernos locales (</w:t>
      </w:r>
      <w:r w:rsidRPr="00711C46">
        <w:rPr>
          <w:rFonts w:ascii="Gill Sans MT" w:hAnsi="Gill Sans MT" w:cstheme="minorHAnsi"/>
          <w:lang w:val="es-ES"/>
        </w:rPr>
        <w:t>GL</w:t>
      </w:r>
      <w:r>
        <w:rPr>
          <w:rFonts w:ascii="Gill Sans MT" w:hAnsi="Gill Sans MT" w:cstheme="minorHAnsi"/>
          <w:lang w:val="es-ES"/>
        </w:rPr>
        <w:t>)</w:t>
      </w:r>
      <w:r w:rsidRPr="00711C46">
        <w:rPr>
          <w:rFonts w:ascii="Gill Sans MT" w:hAnsi="Gill Sans MT" w:cstheme="minorHAnsi"/>
          <w:lang w:val="es-ES"/>
        </w:rPr>
        <w:t xml:space="preserve"> mayor representatividad frente </w:t>
      </w:r>
      <w:r w:rsidRPr="00711C46">
        <w:rPr>
          <w:rFonts w:ascii="Gill Sans MT" w:hAnsi="Gill Sans MT" w:cstheme="minorHAnsi"/>
          <w:lang w:val="es-ES"/>
        </w:rPr>
        <w:lastRenderedPageBreak/>
        <w:t>a las comunidades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debido a que en este espacio se ofrecían los servicios sectoriales que las comunidades demandaban. De este modo, se facilitó un canal de comunicación entre estos dos actores</w:t>
      </w:r>
      <w:r>
        <w:rPr>
          <w:rFonts w:ascii="Gill Sans MT" w:hAnsi="Gill Sans MT" w:cstheme="minorHAnsi"/>
          <w:lang w:val="es-ES"/>
        </w:rPr>
        <w:t xml:space="preserve"> -</w:t>
      </w:r>
      <w:r w:rsidRPr="00711C46">
        <w:rPr>
          <w:rFonts w:ascii="Gill Sans MT" w:hAnsi="Gill Sans MT" w:cstheme="minorHAnsi"/>
          <w:lang w:val="es-ES"/>
        </w:rPr>
        <w:t xml:space="preserve">donde </w:t>
      </w:r>
      <w:r w:rsidRPr="00147D84">
        <w:rPr>
          <w:rFonts w:ascii="Gill Sans MT" w:hAnsi="Gill Sans MT" w:cstheme="minorHAnsi"/>
          <w:lang w:val="es-ES"/>
        </w:rPr>
        <w:t>las comunidades, mediante las JVC, solicitaban servicios sectoriales en el comité liderado por los GL. Los factores que promovieron est</w:t>
      </w:r>
      <w:r>
        <w:rPr>
          <w:rFonts w:ascii="Gill Sans MT" w:hAnsi="Gill Sans MT" w:cstheme="minorHAnsi"/>
          <w:lang w:val="es-ES"/>
        </w:rPr>
        <w:t>os resultados</w:t>
      </w:r>
      <w:r w:rsidRPr="00147D84">
        <w:rPr>
          <w:rFonts w:ascii="Gill Sans MT" w:hAnsi="Gill Sans MT" w:cstheme="minorHAnsi"/>
          <w:lang w:val="es-ES"/>
        </w:rPr>
        <w:t xml:space="preserve"> fueron la forma sencilla del modelo y su metodología</w:t>
      </w:r>
      <w:r w:rsidRPr="00711C46">
        <w:rPr>
          <w:rFonts w:ascii="Gill Sans MT" w:hAnsi="Gill Sans MT" w:cstheme="minorHAnsi"/>
          <w:lang w:val="es-ES"/>
        </w:rPr>
        <w:t xml:space="preserve">, y el acompañamiento continuo del </w:t>
      </w:r>
      <w:r>
        <w:rPr>
          <w:rFonts w:ascii="Gill Sans MT" w:hAnsi="Gill Sans MT" w:cstheme="minorHAnsi"/>
          <w:lang w:val="es-ES"/>
        </w:rPr>
        <w:t>p</w:t>
      </w:r>
      <w:r w:rsidRPr="00711C46">
        <w:rPr>
          <w:rFonts w:ascii="Gill Sans MT" w:hAnsi="Gill Sans MT" w:cstheme="minorHAnsi"/>
          <w:lang w:val="es-ES"/>
        </w:rPr>
        <w:t>royecto.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En cuanto </w:t>
      </w:r>
      <w:r>
        <w:rPr>
          <w:rFonts w:ascii="Gill Sans MT" w:hAnsi="Gill Sans MT" w:cstheme="minorHAnsi"/>
          <w:lang w:val="es-ES"/>
        </w:rPr>
        <w:t>al avance en la</w:t>
      </w:r>
      <w:r w:rsidRPr="00711C46">
        <w:rPr>
          <w:rFonts w:ascii="Gill Sans MT" w:hAnsi="Gill Sans MT" w:cstheme="minorHAnsi"/>
          <w:lang w:val="es-ES"/>
        </w:rPr>
        <w:t xml:space="preserve"> adopción y transferencia del modelo, a nivel de comunidades, la evidencia y el análisis sugieren que la cadena de adopción liderada por DEVIDA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cadena de adopción 3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 tuvo más éxito a nivel de comunidades, cumpliendo con la mayoría de los criterios diseñados en la Guía TES, seguidos por las cadenas de adopción 1 y 2. El </w:t>
      </w:r>
      <w:r>
        <w:rPr>
          <w:rFonts w:ascii="Gill Sans MT" w:hAnsi="Gill Sans MT" w:cstheme="minorHAnsi"/>
          <w:lang w:val="es-ES"/>
        </w:rPr>
        <w:t>avance en la</w:t>
      </w:r>
      <w:r w:rsidRPr="00711C46">
        <w:rPr>
          <w:rFonts w:ascii="Gill Sans MT" w:hAnsi="Gill Sans MT" w:cstheme="minorHAnsi"/>
          <w:lang w:val="es-ES"/>
        </w:rPr>
        <w:t xml:space="preserve"> transferencia a nivel de organizaciones gubernamentales y no gubernamentales habría sido mayor en la cadena de adopción 1</w:t>
      </w:r>
      <w:r>
        <w:rPr>
          <w:rFonts w:ascii="Gill Sans MT" w:hAnsi="Gill Sans MT" w:cstheme="minorHAnsi"/>
          <w:lang w:val="es-ES"/>
        </w:rPr>
        <w:t xml:space="preserve">, </w:t>
      </w:r>
      <w:r w:rsidRPr="00711C46">
        <w:rPr>
          <w:rFonts w:ascii="Gill Sans MT" w:hAnsi="Gill Sans MT" w:cstheme="minorHAnsi"/>
          <w:lang w:val="es-ES"/>
        </w:rPr>
        <w:t xml:space="preserve">debido a la estructura normativa generada por el </w:t>
      </w:r>
      <w:r>
        <w:rPr>
          <w:rFonts w:ascii="Gill Sans MT" w:hAnsi="Gill Sans MT" w:cstheme="minorHAnsi"/>
          <w:lang w:val="es-ES"/>
        </w:rPr>
        <w:t>gobierno regional de San Martín,</w:t>
      </w:r>
      <w:r w:rsidRPr="00711C46">
        <w:rPr>
          <w:rFonts w:ascii="Gill Sans MT" w:hAnsi="Gill Sans MT" w:cstheme="minorHAnsi"/>
          <w:lang w:val="es-ES"/>
        </w:rPr>
        <w:t xml:space="preserve"> y 5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debido al bajo número de interacciones entre actores, liderad</w:t>
      </w:r>
      <w:r>
        <w:rPr>
          <w:rFonts w:ascii="Gill Sans MT" w:hAnsi="Gill Sans MT" w:cstheme="minorHAnsi"/>
          <w:lang w:val="es-ES"/>
        </w:rPr>
        <w:t>os</w:t>
      </w:r>
      <w:r w:rsidRPr="00711C46">
        <w:rPr>
          <w:rFonts w:ascii="Gill Sans MT" w:hAnsi="Gill Sans MT" w:cstheme="minorHAnsi"/>
          <w:lang w:val="es-ES"/>
        </w:rPr>
        <w:t xml:space="preserve"> por UNACEM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y consecuentement</w:t>
      </w:r>
      <w:r>
        <w:rPr>
          <w:rFonts w:ascii="Gill Sans MT" w:hAnsi="Gill Sans MT" w:cstheme="minorHAnsi"/>
          <w:lang w:val="es-ES"/>
        </w:rPr>
        <w:t>e mayor facilidad de gestión</w:t>
      </w:r>
      <w:r w:rsidRPr="00711C46">
        <w:rPr>
          <w:rFonts w:ascii="Gill Sans MT" w:hAnsi="Gill Sans MT" w:cstheme="minorHAnsi"/>
          <w:lang w:val="es-ES"/>
        </w:rPr>
        <w:t>.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/>
          <w:b/>
          <w:sz w:val="21"/>
          <w:szCs w:val="21"/>
          <w:lang w:val="es-ES"/>
        </w:rPr>
      </w:pPr>
      <w:r w:rsidRPr="002B3200">
        <w:rPr>
          <w:rFonts w:ascii="Gill Sans MT" w:hAnsi="Gill Sans MT"/>
          <w:b/>
          <w:sz w:val="21"/>
          <w:szCs w:val="21"/>
          <w:lang w:val="es-ES"/>
        </w:rPr>
        <w:t xml:space="preserve">Pregunta 3: </w:t>
      </w:r>
      <w:r w:rsidRPr="002B3200">
        <w:rPr>
          <w:rFonts w:ascii="Gill Sans MT" w:hAnsi="Gill Sans MT"/>
          <w:b/>
          <w:color w:val="000000"/>
          <w:sz w:val="21"/>
          <w:szCs w:val="21"/>
        </w:rPr>
        <w:t>¿Puede ser adoptado, transferido y sostenible el “modelo” MCS a otros ámbitos más allá del área de salud? ¿Qué condiciones serían las necesarias?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Las condiciones necesarias para que la adopción del modelo sea transferible y sostenible parten de los criterios adaptados de la Guía TES</w:t>
      </w:r>
      <w:r>
        <w:rPr>
          <w:rFonts w:ascii="Gill Sans MT" w:hAnsi="Gill Sans MT" w:cstheme="minorHAnsi"/>
          <w:lang w:val="es-ES"/>
        </w:rPr>
        <w:t>. E</w:t>
      </w:r>
      <w:r w:rsidRPr="00711C46">
        <w:rPr>
          <w:rFonts w:ascii="Gill Sans MT" w:hAnsi="Gill Sans MT" w:cstheme="minorHAnsi"/>
          <w:lang w:val="es-ES"/>
        </w:rPr>
        <w:t>stos son</w:t>
      </w:r>
      <w:r>
        <w:rPr>
          <w:rFonts w:ascii="Gill Sans MT" w:hAnsi="Gill Sans MT" w:cstheme="minorHAnsi"/>
          <w:lang w:val="es-ES"/>
        </w:rPr>
        <w:t>:</w:t>
      </w:r>
      <w:r w:rsidRPr="00711C46">
        <w:rPr>
          <w:rFonts w:ascii="Gill Sans MT" w:hAnsi="Gill Sans MT" w:cstheme="minorHAnsi"/>
          <w:lang w:val="es-ES"/>
        </w:rPr>
        <w:t xml:space="preserve"> i</w:t>
      </w:r>
      <w:r>
        <w:rPr>
          <w:rFonts w:ascii="Gill Sans MT" w:hAnsi="Gill Sans MT" w:cstheme="minorHAnsi"/>
          <w:lang w:val="es-ES"/>
        </w:rPr>
        <w:t>)</w:t>
      </w:r>
      <w:r w:rsidRPr="00711C46">
        <w:rPr>
          <w:rFonts w:ascii="Gill Sans MT" w:hAnsi="Gill Sans MT" w:cstheme="minorHAnsi"/>
          <w:lang w:val="es-ES"/>
        </w:rPr>
        <w:t xml:space="preserve"> a nivel de transferencia: decisión política, formación de equipos técnicos para la implementación, asistencia técnica continua y monitoreo de los avances de la iniciativa; </w:t>
      </w:r>
      <w:r>
        <w:rPr>
          <w:rFonts w:ascii="Gill Sans MT" w:hAnsi="Gill Sans MT" w:cstheme="minorHAnsi"/>
          <w:lang w:val="es-ES"/>
        </w:rPr>
        <w:t>ii)</w:t>
      </w:r>
      <w:r w:rsidRPr="00711C46">
        <w:rPr>
          <w:rFonts w:ascii="Gill Sans MT" w:hAnsi="Gill Sans MT" w:cstheme="minorHAnsi"/>
          <w:lang w:val="es-ES"/>
        </w:rPr>
        <w:t xml:space="preserve"> a nivel de sostenibilidad: generación de marco</w:t>
      </w:r>
      <w:r>
        <w:rPr>
          <w:rFonts w:ascii="Gill Sans MT" w:hAnsi="Gill Sans MT" w:cstheme="minorHAnsi"/>
          <w:lang w:val="es-ES"/>
        </w:rPr>
        <w:t>s normativos para continuidad en la</w:t>
      </w:r>
      <w:r w:rsidRPr="00711C46">
        <w:rPr>
          <w:rFonts w:ascii="Gill Sans MT" w:hAnsi="Gill Sans MT" w:cstheme="minorHAnsi"/>
          <w:lang w:val="es-ES"/>
        </w:rPr>
        <w:t xml:space="preserve"> ejecución, movilización de recursos humanos y asignación presupuestal </w:t>
      </w:r>
      <w:r>
        <w:rPr>
          <w:rFonts w:ascii="Gill Sans MT" w:hAnsi="Gill Sans MT" w:cstheme="minorHAnsi"/>
          <w:lang w:val="es-ES"/>
        </w:rPr>
        <w:t>para</w:t>
      </w:r>
      <w:r w:rsidRPr="00711C46">
        <w:rPr>
          <w:rFonts w:ascii="Gill Sans MT" w:hAnsi="Gill Sans MT" w:cstheme="minorHAnsi"/>
          <w:lang w:val="es-ES"/>
        </w:rPr>
        <w:t xml:space="preserve"> las iniciativas. </w:t>
      </w:r>
    </w:p>
    <w:p w:rsidR="007A3417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La presente evaluación analizó los programas o iniciativas nacionales y locales de los </w:t>
      </w:r>
      <w:r>
        <w:rPr>
          <w:rFonts w:ascii="Gill Sans MT" w:hAnsi="Gill Sans MT" w:cstheme="minorHAnsi"/>
          <w:lang w:val="es-ES"/>
        </w:rPr>
        <w:t>sectores</w:t>
      </w:r>
      <w:r w:rsidRPr="00711C46">
        <w:rPr>
          <w:rFonts w:ascii="Gill Sans MT" w:hAnsi="Gill Sans MT" w:cstheme="minorHAnsi"/>
          <w:lang w:val="es-ES"/>
        </w:rPr>
        <w:t xml:space="preserve"> de educación, vivienda y agricultura. Se analizaron estos ámbitos debido a su grado de descentralización, su interacción dentro de los comités multisectoriales</w:t>
      </w:r>
      <w:r>
        <w:rPr>
          <w:rFonts w:ascii="Gill Sans MT" w:hAnsi="Gill Sans MT" w:cstheme="minorHAnsi"/>
          <w:lang w:val="es-ES"/>
        </w:rPr>
        <w:t xml:space="preserve"> locales</w:t>
      </w:r>
      <w:r w:rsidRPr="00711C46">
        <w:rPr>
          <w:rFonts w:ascii="Gill Sans MT" w:hAnsi="Gill Sans MT" w:cstheme="minorHAnsi"/>
          <w:lang w:val="es-ES"/>
        </w:rPr>
        <w:t xml:space="preserve">, y la decisión política de acercarse a esquemas que el modelo MCS representa. La evidencia apunta a que es posible adoptar el modelo en otros ámbitos distintos a la salud. 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En el ámbito de vivienda se pudiera adoptar mediante el Programa Nacional de Saneamiento Rural (PNSR)</w:t>
      </w:r>
      <w:r>
        <w:rPr>
          <w:rFonts w:ascii="Gill Sans MT" w:hAnsi="Gill Sans MT" w:cstheme="minorHAnsi"/>
          <w:lang w:val="es-ES"/>
        </w:rPr>
        <w:t>, de manera</w:t>
      </w:r>
      <w:r w:rsidRPr="00711C46">
        <w:rPr>
          <w:rFonts w:ascii="Gill Sans MT" w:hAnsi="Gill Sans MT" w:cstheme="minorHAnsi"/>
          <w:lang w:val="es-ES"/>
        </w:rPr>
        <w:t xml:space="preserve"> similar a la cadena 2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por el potencial liderazgo de los gobiernos locales a través de las Áreas Técnicas Municipales </w:t>
      </w:r>
      <w:r>
        <w:rPr>
          <w:rFonts w:ascii="Gill Sans MT" w:hAnsi="Gill Sans MT" w:cstheme="minorHAnsi"/>
          <w:lang w:val="es-ES"/>
        </w:rPr>
        <w:t xml:space="preserve">(ATM) </w:t>
      </w:r>
      <w:r w:rsidRPr="00711C46">
        <w:rPr>
          <w:rFonts w:ascii="Gill Sans MT" w:hAnsi="Gill Sans MT" w:cstheme="minorHAnsi"/>
          <w:lang w:val="es-ES"/>
        </w:rPr>
        <w:t>y el empoderamiento de las Juntas Administradoras de Servicios de Saneamiento (JASS). En el sector agricultura</w:t>
      </w:r>
      <w:r>
        <w:rPr>
          <w:rFonts w:ascii="Gill Sans MT" w:hAnsi="Gill Sans MT" w:cstheme="minorHAnsi"/>
          <w:lang w:val="es-ES"/>
        </w:rPr>
        <w:t xml:space="preserve">, </w:t>
      </w:r>
      <w:r w:rsidRPr="00711C46">
        <w:rPr>
          <w:rFonts w:ascii="Gill Sans MT" w:hAnsi="Gill Sans MT" w:cstheme="minorHAnsi"/>
          <w:lang w:val="es-ES"/>
        </w:rPr>
        <w:t xml:space="preserve">el programa </w:t>
      </w:r>
      <w:proofErr w:type="spellStart"/>
      <w:r w:rsidRPr="00711C46">
        <w:rPr>
          <w:rFonts w:ascii="Gill Sans MT" w:hAnsi="Gill Sans MT" w:cstheme="minorHAnsi"/>
          <w:lang w:val="es-ES"/>
        </w:rPr>
        <w:t>Agro</w:t>
      </w:r>
      <w:r>
        <w:rPr>
          <w:rFonts w:ascii="Gill Sans MT" w:hAnsi="Gill Sans MT" w:cstheme="minorHAnsi"/>
          <w:lang w:val="es-ES"/>
        </w:rPr>
        <w:t>R</w:t>
      </w:r>
      <w:r w:rsidRPr="00711C46">
        <w:rPr>
          <w:rFonts w:ascii="Gill Sans MT" w:hAnsi="Gill Sans MT" w:cstheme="minorHAnsi"/>
          <w:lang w:val="es-ES"/>
        </w:rPr>
        <w:t>ural</w:t>
      </w:r>
      <w:proofErr w:type="spellEnd"/>
      <w:r w:rsidRPr="00711C46">
        <w:rPr>
          <w:rFonts w:ascii="Gill Sans MT" w:hAnsi="Gill Sans MT" w:cstheme="minorHAnsi"/>
          <w:lang w:val="es-ES"/>
        </w:rPr>
        <w:t xml:space="preserve"> podría adoptar </w:t>
      </w:r>
      <w:r>
        <w:rPr>
          <w:rFonts w:ascii="Gill Sans MT" w:hAnsi="Gill Sans MT" w:cstheme="minorHAnsi"/>
          <w:lang w:val="es-ES"/>
        </w:rPr>
        <w:t>el modelo, como en</w:t>
      </w:r>
      <w:r w:rsidRPr="00711C46">
        <w:rPr>
          <w:rFonts w:ascii="Gill Sans MT" w:hAnsi="Gill Sans MT" w:cstheme="minorHAnsi"/>
          <w:lang w:val="es-ES"/>
        </w:rPr>
        <w:t xml:space="preserve"> la cadena 3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considerando los pasos de </w:t>
      </w:r>
      <w:r>
        <w:rPr>
          <w:rFonts w:ascii="Gill Sans MT" w:hAnsi="Gill Sans MT" w:cstheme="minorHAnsi"/>
          <w:lang w:val="es-ES"/>
        </w:rPr>
        <w:t xml:space="preserve">la </w:t>
      </w:r>
      <w:r w:rsidRPr="00711C46">
        <w:rPr>
          <w:rFonts w:ascii="Gill Sans MT" w:hAnsi="Gill Sans MT" w:cstheme="minorHAnsi"/>
          <w:lang w:val="es-ES"/>
        </w:rPr>
        <w:t>asistencia técnica a comunidades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que DEVIDA ha llevado a cabo. Mientras que </w:t>
      </w:r>
      <w:r>
        <w:rPr>
          <w:rFonts w:ascii="Gill Sans MT" w:hAnsi="Gill Sans MT" w:cstheme="minorHAnsi"/>
          <w:lang w:val="es-ES"/>
        </w:rPr>
        <w:t xml:space="preserve">en </w:t>
      </w:r>
      <w:r w:rsidRPr="00711C46">
        <w:rPr>
          <w:rFonts w:ascii="Gill Sans MT" w:hAnsi="Gill Sans MT" w:cstheme="minorHAnsi"/>
          <w:lang w:val="es-ES"/>
        </w:rPr>
        <w:t xml:space="preserve">el sector </w:t>
      </w:r>
      <w:r>
        <w:rPr>
          <w:rFonts w:ascii="Gill Sans MT" w:hAnsi="Gill Sans MT" w:cstheme="minorHAnsi"/>
          <w:lang w:val="es-ES"/>
        </w:rPr>
        <w:t>e</w:t>
      </w:r>
      <w:r w:rsidRPr="00711C46">
        <w:rPr>
          <w:rFonts w:ascii="Gill Sans MT" w:hAnsi="Gill Sans MT" w:cstheme="minorHAnsi"/>
          <w:lang w:val="es-ES"/>
        </w:rPr>
        <w:t>ducación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la estrategia Aprende Saludable </w:t>
      </w:r>
      <w:r>
        <w:rPr>
          <w:rFonts w:ascii="Gill Sans MT" w:hAnsi="Gill Sans MT" w:cstheme="minorHAnsi"/>
          <w:lang w:val="es-ES"/>
        </w:rPr>
        <w:t>podría seguir</w:t>
      </w:r>
      <w:r w:rsidRPr="00711C46">
        <w:rPr>
          <w:rFonts w:ascii="Gill Sans MT" w:hAnsi="Gill Sans MT" w:cstheme="minorHAnsi"/>
          <w:lang w:val="es-ES"/>
        </w:rPr>
        <w:t xml:space="preserve"> la cadena de adopción 1 integrando a actores regionales, locales y comunales, e incluso bajo una plataforma normativa desde el gobierno central. 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/>
          <w:b/>
          <w:sz w:val="21"/>
          <w:szCs w:val="21"/>
          <w:lang w:val="es-ES"/>
        </w:rPr>
      </w:pPr>
      <w:r w:rsidRPr="002B3200">
        <w:rPr>
          <w:rFonts w:ascii="Gill Sans MT" w:hAnsi="Gill Sans MT"/>
          <w:b/>
          <w:sz w:val="21"/>
          <w:szCs w:val="21"/>
          <w:lang w:val="es-ES"/>
        </w:rPr>
        <w:t xml:space="preserve">Pregunta 4: </w:t>
      </w:r>
      <w:r w:rsidRPr="002B3200">
        <w:rPr>
          <w:rFonts w:ascii="Gill Sans MT" w:hAnsi="Gill Sans MT"/>
          <w:b/>
          <w:color w:val="000000"/>
          <w:sz w:val="21"/>
          <w:szCs w:val="21"/>
        </w:rPr>
        <w:t xml:space="preserve">¿Cómo puede el “modelo” ser útil para contribuir al logro de los tres Objetivos de </w:t>
      </w:r>
      <w:r w:rsidRPr="002B3200">
        <w:rPr>
          <w:rFonts w:ascii="Gill Sans MT" w:eastAsia="Times New Roman" w:hAnsi="Gill Sans MT" w:cstheme="minorHAnsi"/>
          <w:b/>
          <w:color w:val="000000"/>
          <w:sz w:val="21"/>
          <w:szCs w:val="21"/>
          <w:lang w:eastAsia="es-PE"/>
        </w:rPr>
        <w:t>Desarrollo</w:t>
      </w:r>
      <w:r w:rsidRPr="002B3200">
        <w:rPr>
          <w:rFonts w:ascii="Gill Sans MT" w:hAnsi="Gill Sans MT"/>
          <w:b/>
          <w:color w:val="000000"/>
          <w:sz w:val="21"/>
          <w:szCs w:val="21"/>
        </w:rPr>
        <w:t xml:space="preserve"> de USAID?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El modelo pu</w:t>
      </w:r>
      <w:r>
        <w:rPr>
          <w:rFonts w:ascii="Gill Sans MT" w:hAnsi="Gill Sans MT" w:cstheme="minorHAnsi"/>
          <w:lang w:val="es-ES"/>
        </w:rPr>
        <w:t>ede</w:t>
      </w:r>
      <w:r w:rsidRPr="00711C46">
        <w:rPr>
          <w:rFonts w:ascii="Gill Sans MT" w:hAnsi="Gill Sans MT" w:cstheme="minorHAnsi"/>
          <w:lang w:val="es-ES"/>
        </w:rPr>
        <w:t xml:space="preserve"> ser útil para los tres Objetivos de Desarrollo. Partiendo de que se trata de un modelo de gobernanza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ya que fortalece a los actores involucrados y sus interacciones para generar un entorno óptimo para la provisión de </w:t>
      </w:r>
      <w:r>
        <w:rPr>
          <w:rFonts w:ascii="Gill Sans MT" w:hAnsi="Gill Sans MT" w:cstheme="minorHAnsi"/>
          <w:lang w:val="es-ES"/>
        </w:rPr>
        <w:t>s</w:t>
      </w:r>
      <w:r w:rsidRPr="00711C46">
        <w:rPr>
          <w:rFonts w:ascii="Gill Sans MT" w:hAnsi="Gill Sans MT" w:cstheme="minorHAnsi"/>
          <w:lang w:val="es-ES"/>
        </w:rPr>
        <w:t xml:space="preserve">ervicios </w:t>
      </w:r>
      <w:r>
        <w:rPr>
          <w:rFonts w:ascii="Gill Sans MT" w:hAnsi="Gill Sans MT" w:cstheme="minorHAnsi"/>
          <w:lang w:val="es-ES"/>
        </w:rPr>
        <w:t>p</w:t>
      </w:r>
      <w:r w:rsidRPr="00711C46">
        <w:rPr>
          <w:rFonts w:ascii="Gill Sans MT" w:hAnsi="Gill Sans MT" w:cstheme="minorHAnsi"/>
          <w:lang w:val="es-ES"/>
        </w:rPr>
        <w:t xml:space="preserve">úblicos </w:t>
      </w:r>
      <w:r>
        <w:rPr>
          <w:rFonts w:ascii="Gill Sans MT" w:hAnsi="Gill Sans MT" w:cstheme="minorHAnsi"/>
          <w:lang w:val="es-ES"/>
        </w:rPr>
        <w:t>s</w:t>
      </w:r>
      <w:r w:rsidRPr="00711C46">
        <w:rPr>
          <w:rFonts w:ascii="Gill Sans MT" w:hAnsi="Gill Sans MT" w:cstheme="minorHAnsi"/>
          <w:lang w:val="es-ES"/>
        </w:rPr>
        <w:t xml:space="preserve">ectoriales, </w:t>
      </w:r>
      <w:r>
        <w:rPr>
          <w:rFonts w:ascii="Gill Sans MT" w:hAnsi="Gill Sans MT" w:cstheme="minorHAnsi"/>
          <w:lang w:val="es-ES"/>
        </w:rPr>
        <w:t>podría</w:t>
      </w:r>
      <w:r w:rsidRPr="00711C46">
        <w:rPr>
          <w:rFonts w:ascii="Gill Sans MT" w:hAnsi="Gill Sans MT" w:cstheme="minorHAnsi"/>
          <w:lang w:val="es-ES"/>
        </w:rPr>
        <w:t xml:space="preserve"> fortalecer las acciones del OD2 a nivel de comunidad. El modelo fortalecería el esquema de descentralización facilitando las demandas de la población hacia los gobiernos locales mediante entidades </w:t>
      </w:r>
      <w:r w:rsidRPr="00711C46">
        <w:rPr>
          <w:rFonts w:ascii="Gill Sans MT" w:hAnsi="Gill Sans MT" w:cstheme="minorHAnsi"/>
          <w:lang w:val="es-ES"/>
        </w:rPr>
        <w:lastRenderedPageBreak/>
        <w:t xml:space="preserve">institucionalizadas. Potencialmente, se podría adoptar la cadena de adopción 1 al considerar un marco normativo sólido provisto por los gobiernos regionales. 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En cuanto al OD1, la cadena de adopción 3 analizada en esta evaluación muestra que existe un piloto de adopción del modelo exitoso en el ámbito de </w:t>
      </w:r>
      <w:r>
        <w:rPr>
          <w:rFonts w:ascii="Gill Sans MT" w:hAnsi="Gill Sans MT" w:cstheme="minorHAnsi"/>
          <w:lang w:val="es-ES"/>
        </w:rPr>
        <w:t>d</w:t>
      </w:r>
      <w:r w:rsidRPr="00711C46">
        <w:rPr>
          <w:rFonts w:ascii="Gill Sans MT" w:hAnsi="Gill Sans MT" w:cstheme="minorHAnsi"/>
          <w:lang w:val="es-ES"/>
        </w:rPr>
        <w:t xml:space="preserve">esarrollo </w:t>
      </w:r>
      <w:r>
        <w:rPr>
          <w:rFonts w:ascii="Gill Sans MT" w:hAnsi="Gill Sans MT" w:cstheme="minorHAnsi"/>
          <w:lang w:val="es-ES"/>
        </w:rPr>
        <w:t>a</w:t>
      </w:r>
      <w:r w:rsidRPr="00711C46">
        <w:rPr>
          <w:rFonts w:ascii="Gill Sans MT" w:hAnsi="Gill Sans MT" w:cstheme="minorHAnsi"/>
          <w:lang w:val="es-ES"/>
        </w:rPr>
        <w:t>lternativo. Esta experiencia pudiese ser replicable al resto de regiones donde el OD1 implementa actividades. Sin embargo, un punto a tener en cuenta para la sostenibilidad de la intervención es la adopción e institucionalización del modelo a nivel de los gobiernos regionales y locales.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</w:rPr>
      </w:pPr>
      <w:r w:rsidRPr="00711C46">
        <w:rPr>
          <w:rFonts w:ascii="Gill Sans MT" w:hAnsi="Gill Sans MT" w:cstheme="minorHAnsi"/>
          <w:lang w:val="es-ES"/>
        </w:rPr>
        <w:t xml:space="preserve">El OD3 </w:t>
      </w:r>
      <w:r>
        <w:rPr>
          <w:rFonts w:ascii="Gill Sans MT" w:hAnsi="Gill Sans MT" w:cstheme="minorHAnsi"/>
          <w:lang w:val="es-ES"/>
        </w:rPr>
        <w:t>podría</w:t>
      </w:r>
      <w:r w:rsidRPr="00711C46">
        <w:rPr>
          <w:rFonts w:ascii="Gill Sans MT" w:hAnsi="Gill Sans MT" w:cstheme="minorHAnsi"/>
          <w:lang w:val="es-ES"/>
        </w:rPr>
        <w:t xml:space="preserve"> promover el cambio de comportamiento para el uso sostenible de recursos naturales a través de su vinculación </w:t>
      </w:r>
      <w:r>
        <w:rPr>
          <w:rFonts w:ascii="Gill Sans MT" w:hAnsi="Gill Sans MT" w:cstheme="minorHAnsi"/>
          <w:lang w:val="es-ES"/>
        </w:rPr>
        <w:t>y</w:t>
      </w:r>
      <w:r w:rsidRPr="00711C46">
        <w:rPr>
          <w:rFonts w:ascii="Gill Sans MT" w:hAnsi="Gill Sans MT" w:cstheme="minorHAnsi"/>
          <w:lang w:val="es-ES"/>
        </w:rPr>
        <w:t xml:space="preserve"> apoyo </w:t>
      </w:r>
      <w:r>
        <w:rPr>
          <w:rFonts w:ascii="Gill Sans MT" w:hAnsi="Gill Sans MT" w:cstheme="minorHAnsi"/>
          <w:lang w:val="es-ES"/>
        </w:rPr>
        <w:t>al</w:t>
      </w:r>
      <w:r w:rsidRPr="00711C46">
        <w:rPr>
          <w:rFonts w:ascii="Gill Sans MT" w:hAnsi="Gill Sans MT" w:cstheme="minorHAnsi"/>
          <w:lang w:val="es-ES"/>
        </w:rPr>
        <w:t xml:space="preserve"> Ministerio del Ambiente y su Programa Nacional de Conservación de Bosques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que remunera a comunidades indígenas que demuestr</w:t>
      </w:r>
      <w:r>
        <w:rPr>
          <w:rFonts w:ascii="Gill Sans MT" w:hAnsi="Gill Sans MT" w:cstheme="minorHAnsi"/>
          <w:lang w:val="es-ES"/>
        </w:rPr>
        <w:t>a</w:t>
      </w:r>
      <w:r w:rsidRPr="00711C46">
        <w:rPr>
          <w:rFonts w:ascii="Gill Sans MT" w:hAnsi="Gill Sans MT" w:cstheme="minorHAnsi"/>
          <w:lang w:val="es-ES"/>
        </w:rPr>
        <w:t xml:space="preserve">n la conservación de sus bosques mediante un plan de manejo forestal. Adicionalmente, a nivel de las regiones amazónicas </w:t>
      </w:r>
      <w:r>
        <w:rPr>
          <w:rFonts w:ascii="Gill Sans MT" w:hAnsi="Gill Sans MT" w:cstheme="minorHAnsi"/>
          <w:lang w:val="es-ES"/>
        </w:rPr>
        <w:t>están</w:t>
      </w:r>
      <w:r w:rsidRPr="00711C46">
        <w:rPr>
          <w:rFonts w:ascii="Gill Sans MT" w:hAnsi="Gill Sans MT" w:cstheme="minorHAnsi"/>
          <w:lang w:val="es-ES"/>
        </w:rPr>
        <w:t xml:space="preserve"> las Autoridades Regionales del Ambiente (ARA), empoderadas para la gestión </w:t>
      </w:r>
      <w:r>
        <w:rPr>
          <w:rFonts w:ascii="Gill Sans MT" w:hAnsi="Gill Sans MT" w:cstheme="minorHAnsi"/>
          <w:lang w:val="es-ES"/>
        </w:rPr>
        <w:t>en</w:t>
      </w:r>
      <w:r w:rsidRPr="00711C46">
        <w:rPr>
          <w:rFonts w:ascii="Gill Sans MT" w:hAnsi="Gill Sans MT" w:cstheme="minorHAnsi"/>
          <w:lang w:val="es-ES"/>
        </w:rPr>
        <w:t xml:space="preserve"> este ámbito. La utilidad del modelo </w:t>
      </w:r>
      <w:r>
        <w:rPr>
          <w:rFonts w:ascii="Gill Sans MT" w:hAnsi="Gill Sans MT" w:cstheme="minorHAnsi"/>
          <w:lang w:val="es-ES"/>
        </w:rPr>
        <w:t>sería para</w:t>
      </w:r>
      <w:r w:rsidRPr="00711C46">
        <w:rPr>
          <w:rFonts w:ascii="Gill Sans MT" w:hAnsi="Gill Sans MT" w:cstheme="minorHAnsi"/>
          <w:lang w:val="es-ES"/>
        </w:rPr>
        <w:t xml:space="preserve"> capacitar técnicamente a gobiernos locales y JVC para la implementación y monitoreo de los planes de manejo forestal de las comunidades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asegurando el desarrollo del Programa que USAID apoya.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b/>
        </w:rPr>
      </w:pPr>
      <w:r w:rsidRPr="00711C46">
        <w:rPr>
          <w:rFonts w:ascii="Gill Sans MT" w:hAnsi="Gill Sans MT" w:cstheme="minorHAnsi"/>
          <w:b/>
        </w:rPr>
        <w:t>CONCLUSIONES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>
        <w:rPr>
          <w:rFonts w:ascii="Gill Sans MT" w:hAnsi="Gill Sans MT" w:cstheme="minorHAnsi"/>
          <w:lang w:val="es-ES"/>
        </w:rPr>
        <w:t>E</w:t>
      </w:r>
      <w:r w:rsidRPr="00711C46">
        <w:rPr>
          <w:rFonts w:ascii="Gill Sans MT" w:hAnsi="Gill Sans MT" w:cstheme="minorHAnsi"/>
          <w:lang w:val="es-ES"/>
        </w:rPr>
        <w:t>l modelo de MCS es versátil y p</w:t>
      </w:r>
      <w:r>
        <w:rPr>
          <w:rFonts w:ascii="Gill Sans MT" w:hAnsi="Gill Sans MT" w:cstheme="minorHAnsi"/>
          <w:lang w:val="es-ES"/>
        </w:rPr>
        <w:t>odría s</w:t>
      </w:r>
      <w:r w:rsidRPr="00711C46">
        <w:rPr>
          <w:rFonts w:ascii="Gill Sans MT" w:hAnsi="Gill Sans MT" w:cstheme="minorHAnsi"/>
          <w:lang w:val="es-ES"/>
        </w:rPr>
        <w:t xml:space="preserve">er aplicado total o parcialmente en función a condiciones de contexto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estrategias de descentralización, esquemas de desarrollo alternativo, entre otros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 xml:space="preserve">. </w:t>
      </w:r>
      <w:r>
        <w:rPr>
          <w:rFonts w:ascii="Gill Sans MT" w:hAnsi="Gill Sans MT" w:cstheme="minorHAnsi"/>
          <w:lang w:val="es-ES"/>
        </w:rPr>
        <w:t>El</w:t>
      </w:r>
      <w:r w:rsidRPr="00711C46">
        <w:rPr>
          <w:rFonts w:ascii="Gill Sans MT" w:hAnsi="Gill Sans MT" w:cstheme="minorHAnsi"/>
          <w:lang w:val="es-ES"/>
        </w:rPr>
        <w:t xml:space="preserve"> liderazgo para la adopción del modelo puede ser asumido por organismos gubernamentales o no gubernamentales 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empresas u ONG</w:t>
      </w:r>
      <w:r>
        <w:rPr>
          <w:rFonts w:ascii="Gill Sans MT" w:hAnsi="Gill Sans MT" w:cstheme="minorHAnsi"/>
          <w:lang w:val="es-ES"/>
        </w:rPr>
        <w:t>-</w:t>
      </w:r>
      <w:r w:rsidRPr="00711C46">
        <w:rPr>
          <w:rFonts w:ascii="Gill Sans MT" w:hAnsi="Gill Sans MT" w:cstheme="minorHAnsi"/>
          <w:lang w:val="es-ES"/>
        </w:rPr>
        <w:t>.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Cuando el liderazgo </w:t>
      </w:r>
      <w:r>
        <w:rPr>
          <w:rFonts w:ascii="Gill Sans MT" w:hAnsi="Gill Sans MT" w:cstheme="minorHAnsi"/>
          <w:lang w:val="es-ES"/>
        </w:rPr>
        <w:t>en</w:t>
      </w:r>
      <w:r w:rsidRPr="00711C46">
        <w:rPr>
          <w:rFonts w:ascii="Gill Sans MT" w:hAnsi="Gill Sans MT" w:cstheme="minorHAnsi"/>
          <w:lang w:val="es-ES"/>
        </w:rPr>
        <w:t xml:space="preserve"> la adopción del modelo </w:t>
      </w:r>
      <w:r>
        <w:rPr>
          <w:rFonts w:ascii="Gill Sans MT" w:hAnsi="Gill Sans MT" w:cstheme="minorHAnsi"/>
          <w:lang w:val="es-ES"/>
        </w:rPr>
        <w:t>lo asumen</w:t>
      </w:r>
      <w:r w:rsidRPr="00711C46">
        <w:rPr>
          <w:rFonts w:ascii="Gill Sans MT" w:hAnsi="Gill Sans MT" w:cstheme="minorHAnsi"/>
          <w:lang w:val="es-ES"/>
        </w:rPr>
        <w:t xml:space="preserve"> instituciones gubernamentales, la sostenibilidad política sería mayor que cuando lo asume</w:t>
      </w:r>
      <w:r>
        <w:rPr>
          <w:rFonts w:ascii="Gill Sans MT" w:hAnsi="Gill Sans MT" w:cstheme="minorHAnsi"/>
          <w:lang w:val="es-ES"/>
        </w:rPr>
        <w:t>n</w:t>
      </w:r>
      <w:r w:rsidRPr="00711C46">
        <w:rPr>
          <w:rFonts w:ascii="Gill Sans MT" w:hAnsi="Gill Sans MT" w:cstheme="minorHAnsi"/>
          <w:lang w:val="es-ES"/>
        </w:rPr>
        <w:t xml:space="preserve"> actores no gubernamentales. Sin embargo, si el liderazgo es del sector privado, la sostenibilidad financiera </w:t>
      </w:r>
      <w:r>
        <w:rPr>
          <w:rFonts w:ascii="Gill Sans MT" w:hAnsi="Gill Sans MT" w:cstheme="minorHAnsi"/>
          <w:lang w:val="es-ES"/>
        </w:rPr>
        <w:t>podría</w:t>
      </w:r>
      <w:r w:rsidRPr="00711C46">
        <w:rPr>
          <w:rFonts w:ascii="Gill Sans MT" w:hAnsi="Gill Sans MT" w:cstheme="minorHAnsi"/>
          <w:lang w:val="es-ES"/>
        </w:rPr>
        <w:t xml:space="preserve"> ser mayor. Es importante considerar que la permanencia de la empresa en </w:t>
      </w:r>
      <w:r>
        <w:rPr>
          <w:rFonts w:ascii="Gill Sans MT" w:hAnsi="Gill Sans MT" w:cstheme="minorHAnsi"/>
          <w:lang w:val="es-ES"/>
        </w:rPr>
        <w:t>espacios mayores</w:t>
      </w:r>
      <w:r w:rsidRPr="00711C46">
        <w:rPr>
          <w:rFonts w:ascii="Gill Sans MT" w:hAnsi="Gill Sans MT" w:cstheme="minorHAnsi"/>
          <w:lang w:val="es-ES"/>
        </w:rPr>
        <w:t xml:space="preserve"> a las comunidades está supeditada a sus propios intereses.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Potencialmente</w:t>
      </w:r>
      <w:r>
        <w:rPr>
          <w:rFonts w:ascii="Gill Sans MT" w:hAnsi="Gill Sans MT" w:cstheme="minorHAnsi"/>
          <w:lang w:val="es-ES"/>
        </w:rPr>
        <w:t>,</w:t>
      </w:r>
      <w:r w:rsidRPr="00711C46">
        <w:rPr>
          <w:rFonts w:ascii="Gill Sans MT" w:hAnsi="Gill Sans MT" w:cstheme="minorHAnsi"/>
          <w:lang w:val="es-ES"/>
        </w:rPr>
        <w:t xml:space="preserve"> el modelo puede ser adoptado por </w:t>
      </w:r>
      <w:r>
        <w:rPr>
          <w:rFonts w:ascii="Gill Sans MT" w:hAnsi="Gill Sans MT" w:cstheme="minorHAnsi"/>
          <w:lang w:val="es-ES"/>
        </w:rPr>
        <w:t>sectores</w:t>
      </w:r>
      <w:r w:rsidRPr="00711C46">
        <w:rPr>
          <w:rFonts w:ascii="Gill Sans MT" w:hAnsi="Gill Sans MT" w:cstheme="minorHAnsi"/>
          <w:lang w:val="es-ES"/>
        </w:rPr>
        <w:t xml:space="preserve"> distintos al de salud, incluidos vivienda, educación, agricultura, medio ambiente y desarrollo alternativo. </w:t>
      </w:r>
      <w:r>
        <w:rPr>
          <w:rFonts w:ascii="Gill Sans MT" w:hAnsi="Gill Sans MT" w:cstheme="minorHAnsi"/>
          <w:lang w:val="es-ES"/>
        </w:rPr>
        <w:t>A</w:t>
      </w:r>
      <w:r w:rsidRPr="00711C46">
        <w:rPr>
          <w:rFonts w:ascii="Gill Sans MT" w:hAnsi="Gill Sans MT" w:cstheme="minorHAnsi"/>
          <w:lang w:val="es-ES"/>
        </w:rPr>
        <w:t>lgunas de las principales condiciones para que se concrete la adopción serían las siguientes:</w:t>
      </w:r>
    </w:p>
    <w:p w:rsidR="007A3417" w:rsidRPr="00711C46" w:rsidRDefault="007A3417" w:rsidP="007A34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Marco normativo que asegure la implementación de la estrategia que el modelo MCS propone.</w:t>
      </w:r>
    </w:p>
    <w:p w:rsidR="007A3417" w:rsidRPr="00711C46" w:rsidRDefault="007A3417" w:rsidP="007A34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Presupuesto asignado para la implementación de la estrategia.</w:t>
      </w:r>
    </w:p>
    <w:p w:rsidR="007A3417" w:rsidRPr="00711C46" w:rsidRDefault="007A3417" w:rsidP="007A34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Estrategia acompañada de otros ámbitos de desarrollo (</w:t>
      </w:r>
      <w:proofErr w:type="spellStart"/>
      <w:r w:rsidRPr="00711C46">
        <w:rPr>
          <w:rFonts w:ascii="Gill Sans MT" w:hAnsi="Gill Sans MT" w:cstheme="minorHAnsi"/>
          <w:lang w:val="es-ES"/>
        </w:rPr>
        <w:t>multisectorialidad</w:t>
      </w:r>
      <w:proofErr w:type="spellEnd"/>
      <w:r w:rsidRPr="00711C46">
        <w:rPr>
          <w:rFonts w:ascii="Gill Sans MT" w:hAnsi="Gill Sans MT" w:cstheme="minorHAnsi"/>
          <w:lang w:val="es-ES"/>
        </w:rPr>
        <w:t>).</w:t>
      </w:r>
    </w:p>
    <w:p w:rsidR="007A3417" w:rsidRPr="00711C46" w:rsidRDefault="007A3417" w:rsidP="007A34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>Fortalecimiento de capacidades técnicas y de gestión de todos los actores involucrados en la adopción del modelo, así como promoción de la articulaci</w:t>
      </w:r>
      <w:r>
        <w:rPr>
          <w:rFonts w:ascii="Gill Sans MT" w:hAnsi="Gill Sans MT" w:cstheme="minorHAnsi"/>
          <w:lang w:val="es-ES"/>
        </w:rPr>
        <w:t>ón</w:t>
      </w:r>
      <w:r w:rsidRPr="00711C46">
        <w:rPr>
          <w:rFonts w:ascii="Gill Sans MT" w:hAnsi="Gill Sans MT" w:cstheme="minorHAnsi"/>
          <w:lang w:val="es-ES"/>
        </w:rPr>
        <w:t xml:space="preserve"> entre ellos.</w:t>
      </w:r>
    </w:p>
    <w:p w:rsidR="007A3417" w:rsidRPr="00711C46" w:rsidRDefault="007A3417" w:rsidP="007A3417">
      <w:pPr>
        <w:autoSpaceDE w:val="0"/>
        <w:autoSpaceDN w:val="0"/>
        <w:adjustRightInd w:val="0"/>
        <w:spacing w:after="120" w:line="269" w:lineRule="auto"/>
        <w:rPr>
          <w:rFonts w:ascii="Gill Sans MT" w:hAnsi="Gill Sans MT" w:cstheme="minorHAnsi"/>
          <w:lang w:val="es-ES"/>
        </w:rPr>
      </w:pPr>
      <w:r w:rsidRPr="00711C46">
        <w:rPr>
          <w:rFonts w:ascii="Gill Sans MT" w:hAnsi="Gill Sans MT" w:cstheme="minorHAnsi"/>
          <w:lang w:val="es-ES"/>
        </w:rPr>
        <w:t xml:space="preserve">El modelo además serviría como una estrategia de articulación de actores para facilitar procesos de descentralización. Si bien fue concebido con un enfoque comunal, en el campo se evidenció que </w:t>
      </w:r>
      <w:r>
        <w:rPr>
          <w:rFonts w:ascii="Gill Sans MT" w:hAnsi="Gill Sans MT" w:cstheme="minorHAnsi"/>
          <w:lang w:val="es-ES"/>
        </w:rPr>
        <w:t>se promueven</w:t>
      </w:r>
      <w:r w:rsidRPr="00711C46">
        <w:rPr>
          <w:rFonts w:ascii="Gill Sans MT" w:hAnsi="Gill Sans MT" w:cstheme="minorHAnsi"/>
          <w:lang w:val="es-ES"/>
        </w:rPr>
        <w:t xml:space="preserve"> fortalezas a nivel institucional. De este modo, institucionalizando los cambios de comportamiento en </w:t>
      </w:r>
      <w:r>
        <w:rPr>
          <w:rFonts w:ascii="Gill Sans MT" w:hAnsi="Gill Sans MT" w:cstheme="minorHAnsi"/>
          <w:lang w:val="es-ES"/>
        </w:rPr>
        <w:t xml:space="preserve">los </w:t>
      </w:r>
      <w:r w:rsidRPr="00711C46">
        <w:rPr>
          <w:rFonts w:ascii="Gill Sans MT" w:hAnsi="Gill Sans MT" w:cstheme="minorHAnsi"/>
          <w:lang w:val="es-ES"/>
        </w:rPr>
        <w:t xml:space="preserve">ámbitos que </w:t>
      </w:r>
      <w:r>
        <w:rPr>
          <w:rFonts w:ascii="Gill Sans MT" w:hAnsi="Gill Sans MT" w:cstheme="minorHAnsi"/>
          <w:lang w:val="es-ES"/>
        </w:rPr>
        <w:t>se prioricen,</w:t>
      </w:r>
      <w:r w:rsidRPr="00711C46">
        <w:rPr>
          <w:rFonts w:ascii="Gill Sans MT" w:hAnsi="Gill Sans MT" w:cstheme="minorHAnsi"/>
          <w:lang w:val="es-ES"/>
        </w:rPr>
        <w:t xml:space="preserve"> puede facilitar la generación de una cadena de adopción </w:t>
      </w:r>
      <w:r>
        <w:rPr>
          <w:rFonts w:ascii="Gill Sans MT" w:hAnsi="Gill Sans MT" w:cstheme="minorHAnsi"/>
          <w:lang w:val="es-ES"/>
        </w:rPr>
        <w:t>para</w:t>
      </w:r>
      <w:r w:rsidRPr="00711C46">
        <w:rPr>
          <w:rFonts w:ascii="Gill Sans MT" w:hAnsi="Gill Sans MT" w:cstheme="minorHAnsi"/>
          <w:lang w:val="es-ES"/>
        </w:rPr>
        <w:t xml:space="preserve"> la provisión de servicios sectoriales que la población demand</w:t>
      </w:r>
      <w:r>
        <w:rPr>
          <w:rFonts w:ascii="Gill Sans MT" w:hAnsi="Gill Sans MT" w:cstheme="minorHAnsi"/>
          <w:lang w:val="es-ES"/>
        </w:rPr>
        <w:t>a,</w:t>
      </w:r>
      <w:r w:rsidRPr="00711C46">
        <w:rPr>
          <w:rFonts w:ascii="Gill Sans MT" w:hAnsi="Gill Sans MT" w:cstheme="minorHAnsi"/>
          <w:lang w:val="es-ES"/>
        </w:rPr>
        <w:t xml:space="preserve"> o viceversa, </w:t>
      </w:r>
      <w:r>
        <w:rPr>
          <w:rFonts w:ascii="Gill Sans MT" w:hAnsi="Gill Sans MT" w:cstheme="minorHAnsi"/>
          <w:lang w:val="es-ES"/>
        </w:rPr>
        <w:t>generar</w:t>
      </w:r>
      <w:r w:rsidRPr="00711C46">
        <w:rPr>
          <w:rFonts w:ascii="Gill Sans MT" w:hAnsi="Gill Sans MT" w:cstheme="minorHAnsi"/>
          <w:lang w:val="es-ES"/>
        </w:rPr>
        <w:t xml:space="preserve"> espacios donde los sectores pued</w:t>
      </w:r>
      <w:r>
        <w:rPr>
          <w:rFonts w:ascii="Gill Sans MT" w:hAnsi="Gill Sans MT" w:cstheme="minorHAnsi"/>
          <w:lang w:val="es-ES"/>
        </w:rPr>
        <w:t>e</w:t>
      </w:r>
      <w:r w:rsidRPr="00711C46">
        <w:rPr>
          <w:rFonts w:ascii="Gill Sans MT" w:hAnsi="Gill Sans MT" w:cstheme="minorHAnsi"/>
          <w:lang w:val="es-ES"/>
        </w:rPr>
        <w:t>n ofrecer sus servicios a la población.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 w:cstheme="minorHAnsi"/>
          <w:b/>
          <w:sz w:val="21"/>
          <w:szCs w:val="21"/>
          <w:lang w:val="es-ES"/>
        </w:rPr>
      </w:pPr>
      <w:r w:rsidRPr="002B3200">
        <w:rPr>
          <w:rFonts w:ascii="Gill Sans MT" w:hAnsi="Gill Sans MT" w:cstheme="minorHAnsi"/>
          <w:b/>
          <w:sz w:val="21"/>
          <w:szCs w:val="21"/>
          <w:lang w:val="es-ES"/>
        </w:rPr>
        <w:t>RECOMENDACIONES</w:t>
      </w:r>
    </w:p>
    <w:p w:rsidR="007A3417" w:rsidRPr="00711C46" w:rsidRDefault="007A3417" w:rsidP="007A3417">
      <w:pPr>
        <w:spacing w:after="120" w:line="269" w:lineRule="auto"/>
        <w:rPr>
          <w:rFonts w:ascii="Gill Sans MT" w:hAnsi="Gill Sans MT" w:cstheme="minorHAnsi"/>
          <w:b/>
          <w:lang w:val="es-ES"/>
        </w:rPr>
      </w:pPr>
      <w:r w:rsidRPr="00711C46">
        <w:rPr>
          <w:rFonts w:ascii="Gill Sans MT" w:hAnsi="Gill Sans MT" w:cstheme="minorHAnsi"/>
          <w:b/>
          <w:lang w:val="es-ES"/>
        </w:rPr>
        <w:t>Para futuros implementadores del modelo: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A91EE6">
        <w:rPr>
          <w:rFonts w:ascii="Gill Sans MT" w:hAnsi="Gill Sans MT" w:cstheme="minorHAnsi"/>
          <w:i/>
          <w:lang w:val="es-ES"/>
        </w:rPr>
        <w:lastRenderedPageBreak/>
        <w:t>Mayor inclusión de los gobiernos regionales</w:t>
      </w:r>
      <w:r w:rsidRPr="00C24FB8">
        <w:rPr>
          <w:rFonts w:ascii="Gill Sans MT" w:hAnsi="Gill Sans MT" w:cstheme="minorHAnsi"/>
          <w:lang w:val="es-ES"/>
        </w:rPr>
        <w:t>: se recomienda promover plataformas normativas lideradas por los gobiernos regionales. Se ha visto en la adopción del modelo, que esto favorece a la sostenibilidad de la intervención.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A91EE6">
        <w:rPr>
          <w:rFonts w:ascii="Gill Sans MT" w:hAnsi="Gill Sans MT" w:cstheme="minorHAnsi"/>
          <w:i/>
          <w:lang w:val="es-ES"/>
        </w:rPr>
        <w:t>Fortalecer la articulación interinstitucional</w:t>
      </w:r>
      <w:r w:rsidRPr="00C24FB8">
        <w:rPr>
          <w:rFonts w:ascii="Gill Sans MT" w:hAnsi="Gill Sans MT" w:cstheme="minorHAnsi"/>
          <w:lang w:val="es-ES"/>
        </w:rPr>
        <w:t>: se recomienda un fortalecimiento a dos niveles, por un lado a nivel de gobiernos regionales y locales, para que tengan la capacidad de ofrecer servicios sectoriales a sus poblaciones. Por otro lado, empoderar a las JVC para que representen adecuadamente a las comunidades y familias que les corresponde; un buen instrumento para ello es el “</w:t>
      </w:r>
      <w:r w:rsidRPr="00C24FB8">
        <w:rPr>
          <w:rFonts w:ascii="Gill Sans MT" w:hAnsi="Gill Sans MT" w:cstheme="minorHAnsi"/>
        </w:rPr>
        <w:t>Programa de Liderazgo Moral y Gestión Comunitaria”.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A91EE6">
        <w:rPr>
          <w:rFonts w:ascii="Gill Sans MT" w:hAnsi="Gill Sans MT" w:cstheme="minorHAnsi"/>
          <w:i/>
          <w:lang w:val="es-ES"/>
        </w:rPr>
        <w:t>Motivar demanda de la comunidad</w:t>
      </w:r>
      <w:r w:rsidRPr="00C24FB8">
        <w:rPr>
          <w:rFonts w:ascii="Gill Sans MT" w:hAnsi="Gill Sans MT" w:cstheme="minorHAnsi"/>
          <w:lang w:val="es-ES"/>
        </w:rPr>
        <w:t>: la promoción del cambio de comportamiento debe responder a una demanda de la comunidad, de este modo, la comunidad lo considerará suyo y lo vinculará a su desarrollo.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A91EE6">
        <w:rPr>
          <w:rFonts w:ascii="Gill Sans MT" w:hAnsi="Gill Sans MT" w:cstheme="minorHAnsi"/>
          <w:i/>
          <w:lang w:val="es-ES"/>
        </w:rPr>
        <w:t>Usar el modelo para apalancar recursos</w:t>
      </w:r>
      <w:r w:rsidRPr="00C24FB8">
        <w:rPr>
          <w:rFonts w:ascii="Gill Sans MT" w:hAnsi="Gill Sans MT" w:cstheme="minorHAnsi"/>
          <w:lang w:val="es-ES"/>
        </w:rPr>
        <w:t xml:space="preserve">: con intervenciones exitosas del modelo. Se recomienda fortalecer las capacidades de los beneficiarios mediante la </w:t>
      </w:r>
      <w:r w:rsidRPr="00C24FB8">
        <w:rPr>
          <w:rFonts w:ascii="Gill Sans MT" w:hAnsi="Gill Sans MT"/>
          <w:lang w:val="es-ES"/>
        </w:rPr>
        <w:t>“</w:t>
      </w:r>
      <w:r w:rsidRPr="00C24FB8">
        <w:rPr>
          <w:rFonts w:ascii="Gill Sans MT" w:hAnsi="Gill Sans MT"/>
        </w:rPr>
        <w:t>Guía para facilitar la Formulación de Proyectos de Inversión Pública (PIP)”.</w:t>
      </w:r>
    </w:p>
    <w:p w:rsidR="007A3417" w:rsidRPr="002B3200" w:rsidRDefault="007A3417" w:rsidP="007A3417">
      <w:pPr>
        <w:spacing w:after="120" w:line="269" w:lineRule="auto"/>
        <w:rPr>
          <w:rFonts w:ascii="Gill Sans MT" w:hAnsi="Gill Sans MT" w:cstheme="minorHAnsi"/>
          <w:b/>
          <w:sz w:val="21"/>
          <w:szCs w:val="21"/>
          <w:lang w:val="es-ES"/>
        </w:rPr>
      </w:pPr>
      <w:r w:rsidRPr="002B3200">
        <w:rPr>
          <w:rFonts w:ascii="Gill Sans MT" w:hAnsi="Gill Sans MT" w:cstheme="minorHAnsi"/>
          <w:b/>
          <w:sz w:val="21"/>
          <w:szCs w:val="21"/>
          <w:lang w:val="es-ES"/>
        </w:rPr>
        <w:t>Para USAID: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C24FB8">
        <w:rPr>
          <w:rFonts w:ascii="Gill Sans MT" w:hAnsi="Gill Sans MT" w:cstheme="minorHAnsi"/>
          <w:i/>
          <w:lang w:val="es-ES"/>
        </w:rPr>
        <w:t>Escalar el piloto de adopción del modelo</w:t>
      </w:r>
      <w:r w:rsidRPr="00C24FB8">
        <w:rPr>
          <w:rFonts w:ascii="Gill Sans MT" w:hAnsi="Gill Sans MT" w:cstheme="minorHAnsi"/>
          <w:lang w:val="es-ES"/>
        </w:rPr>
        <w:t>: se recomienda escalar la experiencia de DEVIDA a otros valles de producción de coca -como San Gabán-, pero además promoviendo la institucionalización del modelo en los gobiernos regionales y locales.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C24FB8">
        <w:rPr>
          <w:rFonts w:ascii="Gill Sans MT" w:hAnsi="Gill Sans MT" w:cstheme="minorHAnsi"/>
          <w:i/>
          <w:lang w:val="es-ES"/>
        </w:rPr>
        <w:t>Identificar un punto de entrada atractivo</w:t>
      </w:r>
      <w:r w:rsidRPr="00C24FB8">
        <w:rPr>
          <w:rFonts w:ascii="Gill Sans MT" w:hAnsi="Gill Sans MT" w:cstheme="minorHAnsi"/>
          <w:lang w:val="es-ES"/>
        </w:rPr>
        <w:t>: como salud, educación, agricultura, vivienda o medio ambiente, que tendrían buena aceptación en la población. Considerarlos podría significar nuevas oportunidades para fortalecer a las instituciones públicas, privadas y de la sociedad civil, promoviendo su articulación y la institucionalización de los cambios de comportamiento.</w:t>
      </w:r>
    </w:p>
    <w:p w:rsidR="007A3417" w:rsidRPr="00C24FB8" w:rsidRDefault="007A3417" w:rsidP="007A3417">
      <w:pPr>
        <w:spacing w:after="120" w:line="269" w:lineRule="auto"/>
        <w:ind w:left="-3"/>
        <w:rPr>
          <w:rFonts w:ascii="Gill Sans MT" w:hAnsi="Gill Sans MT" w:cstheme="minorHAnsi"/>
          <w:lang w:val="es-ES"/>
        </w:rPr>
      </w:pPr>
      <w:r w:rsidRPr="00C24FB8">
        <w:rPr>
          <w:rFonts w:ascii="Gill Sans MT" w:hAnsi="Gill Sans MT" w:cstheme="minorHAnsi"/>
          <w:i/>
          <w:lang w:val="es-ES"/>
        </w:rPr>
        <w:t>Explorar la adopción en nuevos ámbitos</w:t>
      </w:r>
      <w:r w:rsidRPr="00C24FB8">
        <w:rPr>
          <w:rFonts w:ascii="Gill Sans MT" w:hAnsi="Gill Sans MT" w:cstheme="minorHAnsi"/>
          <w:lang w:val="es-ES"/>
        </w:rPr>
        <w:t>: se recomienda la adopción del modelo para cambios de comportamiento relacionados al medio ambiente, ya que se cuenta con actores identificados y capacidades ligadas a este sector, pero sin las interacciones que el modelo puede promover.</w:t>
      </w:r>
    </w:p>
    <w:p w:rsidR="00C44A74" w:rsidRPr="007A3417" w:rsidRDefault="00C44A74">
      <w:pPr>
        <w:rPr>
          <w:lang w:val="es-ES"/>
        </w:rPr>
      </w:pPr>
    </w:p>
    <w:sectPr w:rsidR="00C44A74" w:rsidRPr="007A341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17" w:rsidRDefault="007A3417" w:rsidP="007A3417">
      <w:pPr>
        <w:spacing w:after="0" w:line="240" w:lineRule="auto"/>
      </w:pPr>
      <w:r>
        <w:separator/>
      </w:r>
    </w:p>
  </w:endnote>
  <w:endnote w:type="continuationSeparator" w:id="0">
    <w:p w:rsidR="007A3417" w:rsidRDefault="007A3417" w:rsidP="007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275072"/>
      <w:docPartObj>
        <w:docPartGallery w:val="Page Numbers (Bottom of Page)"/>
        <w:docPartUnique/>
      </w:docPartObj>
    </w:sdtPr>
    <w:sdtContent>
      <w:p w:rsidR="00905528" w:rsidRDefault="009055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528">
          <w:rPr>
            <w:noProof/>
            <w:lang w:val="es-ES"/>
          </w:rPr>
          <w:t>6</w:t>
        </w:r>
        <w:r>
          <w:fldChar w:fldCharType="end"/>
        </w:r>
      </w:p>
    </w:sdtContent>
  </w:sdt>
  <w:p w:rsidR="00905528" w:rsidRDefault="009055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17" w:rsidRDefault="007A3417" w:rsidP="007A3417">
      <w:pPr>
        <w:spacing w:after="0" w:line="240" w:lineRule="auto"/>
      </w:pPr>
      <w:r>
        <w:separator/>
      </w:r>
    </w:p>
  </w:footnote>
  <w:footnote w:type="continuationSeparator" w:id="0">
    <w:p w:rsidR="007A3417" w:rsidRDefault="007A3417" w:rsidP="007A3417">
      <w:pPr>
        <w:spacing w:after="0" w:line="240" w:lineRule="auto"/>
      </w:pPr>
      <w:r>
        <w:continuationSeparator/>
      </w:r>
    </w:p>
  </w:footnote>
  <w:footnote w:id="1">
    <w:p w:rsidR="007A3417" w:rsidRPr="00836364" w:rsidRDefault="007A3417" w:rsidP="007A3417">
      <w:pPr>
        <w:pStyle w:val="Textonotapie"/>
        <w:jc w:val="both"/>
        <w:rPr>
          <w:rStyle w:val="Refdenotaalpie"/>
          <w:lang w:val="es-ES"/>
        </w:rPr>
      </w:pPr>
      <w:r w:rsidRPr="005E6353">
        <w:rPr>
          <w:rStyle w:val="Refdenotaalpie"/>
          <w:rFonts w:ascii="Gill Sans MT" w:hAnsi="Gill Sans MT"/>
          <w:sz w:val="16"/>
          <w:szCs w:val="16"/>
        </w:rPr>
        <w:footnoteRef/>
      </w:r>
      <w:r w:rsidRPr="005E6353">
        <w:rPr>
          <w:rFonts w:ascii="Gill Sans MT" w:hAnsi="Gill Sans MT"/>
          <w:sz w:val="16"/>
          <w:szCs w:val="16"/>
          <w:lang w:val="es-PE"/>
        </w:rPr>
        <w:t xml:space="preserve"> Publicación: Estrategia Municipios y Comunidades Saludables. Proyecto USAID MCS II, 201</w:t>
      </w:r>
      <w:r>
        <w:rPr>
          <w:rFonts w:ascii="Gill Sans MT" w:hAnsi="Gill Sans MT"/>
          <w:sz w:val="16"/>
          <w:szCs w:val="16"/>
          <w:lang w:val="es-PE"/>
        </w:rPr>
        <w:t>5.</w:t>
      </w:r>
      <w:r w:rsidRPr="00836364">
        <w:rPr>
          <w:rStyle w:val="Refdenotaalpie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2E62"/>
    <w:multiLevelType w:val="hybridMultilevel"/>
    <w:tmpl w:val="E010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F3418"/>
    <w:multiLevelType w:val="hybridMultilevel"/>
    <w:tmpl w:val="800850BC"/>
    <w:lvl w:ilvl="0" w:tplc="24D0960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17"/>
    <w:rsid w:val="007A3417"/>
    <w:rsid w:val="00905528"/>
    <w:rsid w:val="00C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E03D7-899E-41D3-A0F6-95D18F1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17"/>
  </w:style>
  <w:style w:type="paragraph" w:styleId="Ttulo1">
    <w:name w:val="heading 1"/>
    <w:basedOn w:val="Normal"/>
    <w:next w:val="Normal"/>
    <w:link w:val="Ttulo1Car"/>
    <w:uiPriority w:val="9"/>
    <w:qFormat/>
    <w:rsid w:val="007A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"/>
    <w:basedOn w:val="Normal"/>
    <w:link w:val="PrrafodelistaCar"/>
    <w:uiPriority w:val="34"/>
    <w:qFormat/>
    <w:rsid w:val="007A3417"/>
    <w:pPr>
      <w:ind w:left="720"/>
      <w:contextualSpacing/>
    </w:pPr>
  </w:style>
  <w:style w:type="character" w:styleId="Refdenotaalpie">
    <w:name w:val="footnote reference"/>
    <w:aliases w:val="16 Point,Superscript 6 Point"/>
    <w:rsid w:val="007A3417"/>
    <w:rPr>
      <w:vertAlign w:val="superscript"/>
    </w:rPr>
  </w:style>
  <w:style w:type="paragraph" w:styleId="Textonotapie">
    <w:name w:val="footnote text"/>
    <w:aliases w:val="FA Fu,Footnote Text English,Geneva 9,Font: Geneva 9,Boston 10,f,Fußnotentextr Car,single space,footnote text,fn,FOOTNOTES,Footnote Text Char Char Char Char Char Char,Fußnotentextr,Char,single space Char Char, Car, Car1 Car Car,Car"/>
    <w:basedOn w:val="Normal"/>
    <w:link w:val="TextonotapieCar"/>
    <w:qFormat/>
    <w:rsid w:val="007A3417"/>
    <w:pPr>
      <w:spacing w:after="120" w:line="264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aliases w:val="FA Fu Car,Footnote Text English Car,Geneva 9 Car,Font: Geneva 9 Car,Boston 10 Car,f Car,Fußnotentextr Car Car,single space Car,footnote text Car,fn Car,FOOTNOTES Car,Footnote Text Char Char Char Char Char Char Car,Fußnotentextr Car1"/>
    <w:basedOn w:val="Fuentedeprrafopredeter"/>
    <w:link w:val="Textonotapie"/>
    <w:rsid w:val="007A34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Ha Car"/>
    <w:link w:val="Prrafodelista"/>
    <w:uiPriority w:val="34"/>
    <w:rsid w:val="007A3417"/>
  </w:style>
  <w:style w:type="paragraph" w:customStyle="1" w:styleId="bodyStyle1">
    <w:name w:val="bodyStyle1"/>
    <w:basedOn w:val="Normal"/>
    <w:link w:val="bodyStyle1Char"/>
    <w:qFormat/>
    <w:rsid w:val="007A3417"/>
    <w:pPr>
      <w:widowControl w:val="0"/>
      <w:autoSpaceDE w:val="0"/>
      <w:autoSpaceDN w:val="0"/>
      <w:adjustRightInd w:val="0"/>
      <w:spacing w:after="120" w:line="264" w:lineRule="auto"/>
    </w:pPr>
    <w:rPr>
      <w:rFonts w:ascii="Gill Sans MT" w:eastAsia="Times New Roman" w:hAnsi="Gill Sans MT" w:cs="Gill Sans"/>
      <w:bCs/>
      <w:lang w:val="en-US"/>
    </w:rPr>
  </w:style>
  <w:style w:type="character" w:customStyle="1" w:styleId="bodyStyle1Char">
    <w:name w:val="bodyStyle1 Char"/>
    <w:link w:val="bodyStyle1"/>
    <w:rsid w:val="007A3417"/>
    <w:rPr>
      <w:rFonts w:ascii="Gill Sans MT" w:eastAsia="Times New Roman" w:hAnsi="Gill Sans MT" w:cs="Gill Sans"/>
      <w:bCs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A3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55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528"/>
  </w:style>
  <w:style w:type="paragraph" w:styleId="Piedepgina">
    <w:name w:val="footer"/>
    <w:basedOn w:val="Normal"/>
    <w:link w:val="PiedepginaCar"/>
    <w:uiPriority w:val="99"/>
    <w:unhideWhenUsed/>
    <w:rsid w:val="009055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2819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Consultor4</dc:creator>
  <cp:keywords/>
  <dc:description/>
  <cp:lastModifiedBy>Consultor4</cp:lastModifiedBy>
  <cp:revision>2</cp:revision>
  <dcterms:created xsi:type="dcterms:W3CDTF">2017-06-02T15:03:00Z</dcterms:created>
  <dcterms:modified xsi:type="dcterms:W3CDTF">2017-06-02T15:07:00Z</dcterms:modified>
</cp:coreProperties>
</file>