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BE" w:rsidRPr="00CF4FD0" w:rsidRDefault="002A68BE" w:rsidP="002A68BE">
      <w:pPr>
        <w:pStyle w:val="Head1alt"/>
      </w:pPr>
      <w:bookmarkStart w:id="0" w:name="_Toc465954924"/>
      <w:r w:rsidRPr="00CF4FD0">
        <w:t>eSTUDIO DE LA SITUACIÓN ACTUAL dEL SECTOR EDUCACIÓN EN EL PERÚ</w:t>
      </w:r>
    </w:p>
    <w:p w:rsidR="002A68BE" w:rsidRDefault="002A68BE" w:rsidP="002A68BE">
      <w:pPr>
        <w:pStyle w:val="Head1alt"/>
        <w:rPr>
          <w:lang w:val="es-PE"/>
        </w:rPr>
      </w:pPr>
    </w:p>
    <w:p w:rsidR="002A68BE" w:rsidRPr="001F7121" w:rsidRDefault="002A68BE" w:rsidP="002A68BE">
      <w:pPr>
        <w:pStyle w:val="Head1alt"/>
        <w:rPr>
          <w:lang w:val="es-PE"/>
        </w:rPr>
      </w:pPr>
      <w:r w:rsidRPr="001F7121">
        <w:rPr>
          <w:lang w:val="es-PE"/>
        </w:rPr>
        <w:t>Resumen Ejecutivo</w:t>
      </w:r>
      <w:bookmarkEnd w:id="0"/>
    </w:p>
    <w:p w:rsidR="002A68BE" w:rsidRPr="00A85160" w:rsidRDefault="002A68BE" w:rsidP="002A68BE">
      <w:pPr>
        <w:pStyle w:val="bodyStyle1"/>
      </w:pPr>
      <w:r w:rsidRPr="00A85160">
        <w:t>A la fecha, en el Perú, aún se observan importantes condiciones de desigualdad en el acceso a educación de calidad. Por ejemplo, de acuerdo a los resultados de la Evaluación Censal de Estudiantes (ECE), los niños y niñas en zonas rurales tienen un rendimiento educativo significativamente menor en comparación con sus contrapartes en el ámbito urban</w:t>
      </w:r>
      <w:r>
        <w:t>o</w:t>
      </w:r>
      <w:r w:rsidRPr="00A85160">
        <w:t>. En el</w:t>
      </w:r>
      <w:r>
        <w:t xml:space="preserve"> 2014, el 34% de niñas y niños de</w:t>
      </w:r>
      <w:r w:rsidRPr="00A85160">
        <w:t xml:space="preserve"> segundo grado de primaria en el ámbito rural no había alcanzado el aprendizaje esperado en lenguaje; en cambio, en el ámbito urbano, este porcentaje era del 8%. Asimismo, en matemáticas estos porcentajes eran 60% y 34% en el ámbito rural y urbano, respectivamente</w:t>
      </w:r>
      <w:r>
        <w:t xml:space="preserve"> (</w:t>
      </w:r>
      <w:proofErr w:type="spellStart"/>
      <w:r>
        <w:t>Minedu</w:t>
      </w:r>
      <w:proofErr w:type="spellEnd"/>
      <w:r>
        <w:t xml:space="preserve"> 2015)</w:t>
      </w:r>
      <w:r w:rsidRPr="00A85160">
        <w:t>.</w:t>
      </w:r>
    </w:p>
    <w:p w:rsidR="002A68BE" w:rsidRPr="00A85160" w:rsidRDefault="002A68BE" w:rsidP="002A68BE">
      <w:pPr>
        <w:pStyle w:val="bodyStyle1"/>
      </w:pPr>
      <w:r w:rsidRPr="00A85160">
        <w:t xml:space="preserve">En este contexto, la Agencia de los Estados Unidos para el Desarrollo Internacional (USAID) se encuentra interesada en conocer la situación actual </w:t>
      </w:r>
      <w:r>
        <w:t>de la</w:t>
      </w:r>
      <w:r w:rsidRPr="00A85160">
        <w:t xml:space="preserve"> educación básica (inicial, primaria y secundaria) con el fin de identificar las líneas de intervención más importantes, en las que hay espacio para que la cooperación técnica colabore con el Estado Peruano. </w:t>
      </w:r>
    </w:p>
    <w:p w:rsidR="002A68BE" w:rsidRPr="0046430E" w:rsidRDefault="002A68BE" w:rsidP="002A68BE">
      <w:pPr>
        <w:pStyle w:val="Head2alt"/>
      </w:pPr>
      <w:bookmarkStart w:id="1" w:name="_Toc465954321"/>
      <w:r w:rsidRPr="0046430E">
        <w:t>Propósito del Estudio</w:t>
      </w:r>
      <w:bookmarkEnd w:id="1"/>
    </w:p>
    <w:p w:rsidR="002A68BE" w:rsidRPr="00753C2A" w:rsidRDefault="002A68BE" w:rsidP="002A68BE">
      <w:pPr>
        <w:pStyle w:val="bodyStyle1"/>
      </w:pPr>
      <w:r w:rsidRPr="00753C2A">
        <w:t xml:space="preserve">El objetivo del estudio es realizar un diagnóstico </w:t>
      </w:r>
      <w:r>
        <w:t xml:space="preserve">rápido </w:t>
      </w:r>
      <w:r w:rsidRPr="00753C2A">
        <w:t>de la situación actual del sector educación básica</w:t>
      </w:r>
      <w:r>
        <w:t>,</w:t>
      </w:r>
      <w:r w:rsidRPr="00753C2A">
        <w:t xml:space="preserve"> e identificar los factores que dificultan el cumplimiento de objetivos de aprendizaje, las reformas críticas necesarias para mejorar la efectividad del sistema y los espacios en donde sea posible la colaboración de la cooperación técnica. </w:t>
      </w:r>
      <w:r>
        <w:t xml:space="preserve">El </w:t>
      </w:r>
      <w:r w:rsidRPr="00753C2A">
        <w:t xml:space="preserve">estudio también busca </w:t>
      </w:r>
      <w:r>
        <w:t>identificar</w:t>
      </w:r>
      <w:r w:rsidRPr="00753C2A">
        <w:t xml:space="preserve"> los proyectos ejecutados por </w:t>
      </w:r>
      <w:r>
        <w:t>la cooperación internacional</w:t>
      </w:r>
      <w:r w:rsidRPr="00753C2A">
        <w:t xml:space="preserve"> </w:t>
      </w:r>
      <w:r>
        <w:t xml:space="preserve">y delinear </w:t>
      </w:r>
      <w:r w:rsidRPr="00753C2A">
        <w:t xml:space="preserve">oportunidades y espacios de mejora que existen en el sector. </w:t>
      </w:r>
    </w:p>
    <w:p w:rsidR="002A68BE" w:rsidRPr="00753C2A" w:rsidRDefault="002A68BE" w:rsidP="002A68BE">
      <w:pPr>
        <w:pStyle w:val="bodyStyle1"/>
      </w:pPr>
      <w:r>
        <w:t>L</w:t>
      </w:r>
      <w:r w:rsidRPr="00753C2A">
        <w:t>as preguntas clave del estudio son tres:</w:t>
      </w:r>
    </w:p>
    <w:p w:rsidR="002A68BE" w:rsidRPr="00753C2A" w:rsidRDefault="002A68BE" w:rsidP="002A68BE">
      <w:pPr>
        <w:pStyle w:val="bodyStyle1"/>
        <w:numPr>
          <w:ilvl w:val="0"/>
          <w:numId w:val="1"/>
        </w:numPr>
      </w:pPr>
      <w:r w:rsidRPr="00753C2A">
        <w:t xml:space="preserve">¿Cuáles son los cuellos de botella en el sistema de educación pública del Perú que afectan los logros de aprendizaje de los estudiantes?  </w:t>
      </w:r>
    </w:p>
    <w:p w:rsidR="002A68BE" w:rsidRPr="00753C2A" w:rsidRDefault="002A68BE" w:rsidP="002A68BE">
      <w:pPr>
        <w:pStyle w:val="bodyStyle1"/>
        <w:numPr>
          <w:ilvl w:val="0"/>
          <w:numId w:val="1"/>
        </w:numPr>
      </w:pPr>
      <w:r w:rsidRPr="00753C2A">
        <w:t>¿Qué reformas se deben implementar y qué esfuerzos deben profundizarse para mejorar la efectividad del sistema educativo? ¿Cuáles son los obstáculos y oportunidades en la implementación de estas reformas?</w:t>
      </w:r>
    </w:p>
    <w:p w:rsidR="002A68BE" w:rsidRPr="00753C2A" w:rsidRDefault="002A68BE" w:rsidP="002A68BE">
      <w:pPr>
        <w:pStyle w:val="bodyStyle1"/>
        <w:numPr>
          <w:ilvl w:val="0"/>
          <w:numId w:val="1"/>
        </w:numPr>
      </w:pPr>
      <w:r w:rsidRPr="00753C2A">
        <w:t>¿Qué están haciendo otros donantes en el sector de educación?</w:t>
      </w:r>
    </w:p>
    <w:p w:rsidR="002A68BE" w:rsidRPr="001F7121" w:rsidRDefault="002A68BE" w:rsidP="002A68BE">
      <w:pPr>
        <w:pStyle w:val="Head2alt"/>
      </w:pPr>
      <w:bookmarkStart w:id="2" w:name="_Toc465954322"/>
      <w:r w:rsidRPr="001F7121">
        <w:t>Metodología</w:t>
      </w:r>
      <w:bookmarkEnd w:id="2"/>
    </w:p>
    <w:p w:rsidR="002A68BE" w:rsidRPr="000D5841" w:rsidRDefault="002A68BE" w:rsidP="002A68BE">
      <w:pPr>
        <w:tabs>
          <w:tab w:val="left" w:pos="1362"/>
        </w:tabs>
        <w:spacing w:after="120"/>
        <w:rPr>
          <w:lang w:val="es-PE"/>
        </w:rPr>
      </w:pPr>
      <w:r w:rsidRPr="000D5841">
        <w:rPr>
          <w:lang w:val="es-PE"/>
        </w:rPr>
        <w:t xml:space="preserve">El proceso de desarrollo del estudio se divide en tres etapas: </w:t>
      </w:r>
    </w:p>
    <w:p w:rsidR="002A68BE" w:rsidRDefault="002A68BE" w:rsidP="002A68BE">
      <w:pPr>
        <w:pStyle w:val="bodyStyle1"/>
        <w:numPr>
          <w:ilvl w:val="0"/>
          <w:numId w:val="2"/>
        </w:numPr>
      </w:pPr>
      <w:r>
        <w:t>Identificación de los nudos críticos en el sector educación, en función de los principales</w:t>
      </w:r>
      <w:r w:rsidRPr="000D5841">
        <w:t xml:space="preserve"> determinantes del rendimiento educativo</w:t>
      </w:r>
      <w:r>
        <w:t>.</w:t>
      </w:r>
    </w:p>
    <w:p w:rsidR="002A68BE" w:rsidRPr="000D5841" w:rsidRDefault="002A68BE" w:rsidP="002A68BE">
      <w:pPr>
        <w:pStyle w:val="bodyStyle1"/>
        <w:numPr>
          <w:ilvl w:val="0"/>
          <w:numId w:val="2"/>
        </w:numPr>
      </w:pPr>
      <w:r w:rsidRPr="000D5841">
        <w:t xml:space="preserve">Identificación de </w:t>
      </w:r>
      <w:r>
        <w:t xml:space="preserve">obstáculos y </w:t>
      </w:r>
      <w:r w:rsidRPr="000D5841">
        <w:t>oportunidades de mejora en el sector educación</w:t>
      </w:r>
      <w:r>
        <w:t>.</w:t>
      </w:r>
    </w:p>
    <w:p w:rsidR="002A68BE" w:rsidRDefault="002A68BE" w:rsidP="002A68BE">
      <w:pPr>
        <w:pStyle w:val="bodyStyle1"/>
        <w:numPr>
          <w:ilvl w:val="0"/>
          <w:numId w:val="2"/>
        </w:numPr>
      </w:pPr>
      <w:r w:rsidRPr="000D5841">
        <w:t>Identificación de espacios de intervención</w:t>
      </w:r>
      <w:r>
        <w:t>.</w:t>
      </w:r>
    </w:p>
    <w:p w:rsidR="002A68BE" w:rsidRDefault="002A68BE" w:rsidP="002A68BE">
      <w:pPr>
        <w:pStyle w:val="bodyStyle1"/>
      </w:pPr>
      <w:r w:rsidRPr="008E3372">
        <w:t xml:space="preserve">Para ello, se utilizó información </w:t>
      </w:r>
      <w:r>
        <w:t>secundaria</w:t>
      </w:r>
      <w:r w:rsidRPr="008E3372">
        <w:t xml:space="preserve">, la cual consiste en bases de datos de encuestas relevantes, literatura científica relacionada a la educación básica y diversos documentos técnicos y </w:t>
      </w:r>
      <w:r w:rsidRPr="008E3372">
        <w:lastRenderedPageBreak/>
        <w:t>legales</w:t>
      </w:r>
      <w:r>
        <w:t xml:space="preserve">; y se complementó con información </w:t>
      </w:r>
      <w:r w:rsidRPr="008E3372">
        <w:t xml:space="preserve">primaria, resultado de </w:t>
      </w:r>
      <w:r>
        <w:t>e</w:t>
      </w:r>
      <w:r w:rsidRPr="008E3372">
        <w:t>ntrevistas a actores clave en el sector público, el sector privado y la cooperación internacional</w:t>
      </w:r>
      <w:r>
        <w:t>.</w:t>
      </w:r>
      <w:r w:rsidRPr="008E3372">
        <w:t xml:space="preserve"> </w:t>
      </w:r>
    </w:p>
    <w:p w:rsidR="002A68BE" w:rsidRPr="001F7121" w:rsidRDefault="002A68BE" w:rsidP="002A68BE">
      <w:pPr>
        <w:pStyle w:val="Head2alt"/>
      </w:pPr>
      <w:bookmarkStart w:id="3" w:name="_Toc465954323"/>
      <w:bookmarkStart w:id="4" w:name="_GoBack"/>
      <w:bookmarkEnd w:id="4"/>
      <w:r w:rsidRPr="001F7121">
        <w:t>Hallazgos y Recomendaciones</w:t>
      </w:r>
      <w:bookmarkEnd w:id="3"/>
    </w:p>
    <w:p w:rsidR="002A68BE" w:rsidRDefault="002A68BE" w:rsidP="002A68BE">
      <w:pPr>
        <w:pStyle w:val="bodyStyle1"/>
      </w:pPr>
      <w:r w:rsidRPr="008E3372">
        <w:t xml:space="preserve">Los resultados del diagnóstico se presentan en dos </w:t>
      </w:r>
      <w:r>
        <w:t>dimensiones. La</w:t>
      </w:r>
      <w:r w:rsidRPr="008E3372">
        <w:t xml:space="preserve"> primer</w:t>
      </w:r>
      <w:r>
        <w:t>a</w:t>
      </w:r>
      <w:r w:rsidRPr="008E3372">
        <w:t xml:space="preserve"> </w:t>
      </w:r>
      <w:r>
        <w:t>está conformada</w:t>
      </w:r>
      <w:r w:rsidRPr="008E3372">
        <w:t xml:space="preserve"> por las variables que explican directamente el rendimiento educativo: características del docente, calidad de la infraestructura, disponibilidad de equipamiento y materiales educativos</w:t>
      </w:r>
      <w:r>
        <w:t xml:space="preserve">, </w:t>
      </w:r>
      <w:r w:rsidRPr="008E3372">
        <w:t xml:space="preserve">y malla curricular aplicada en el aula. En el segundo grupo se encuentran </w:t>
      </w:r>
      <w:r>
        <w:t xml:space="preserve">las </w:t>
      </w:r>
      <w:r w:rsidRPr="008E3372">
        <w:t xml:space="preserve">variables que </w:t>
      </w:r>
      <w:r>
        <w:t xml:space="preserve">afectan el </w:t>
      </w:r>
      <w:r w:rsidRPr="008E3372">
        <w:t>rendimiento educativo solo a través de los determinantes directos; son las variables de gestión de la institución educativa</w:t>
      </w:r>
      <w:r>
        <w:t xml:space="preserve"> y gestión</w:t>
      </w:r>
      <w:r w:rsidRPr="008E3372">
        <w:t xml:space="preserve"> al nivel agregado.</w:t>
      </w:r>
      <w:r>
        <w:t xml:space="preserve"> De acuerdo con el análisis de estas variables</w:t>
      </w:r>
      <w:r w:rsidRPr="0046430E">
        <w:t xml:space="preserve"> </w:t>
      </w:r>
      <w:r>
        <w:t>y el tipo de prioridad al cual responden, se formulan las siguientes recomendaciones para la cooperación internacional:</w:t>
      </w:r>
    </w:p>
    <w:p w:rsidR="002A68BE" w:rsidRDefault="002A68BE" w:rsidP="002A68BE">
      <w:pPr>
        <w:pStyle w:val="bodyStyle1"/>
        <w:numPr>
          <w:ilvl w:val="0"/>
          <w:numId w:val="3"/>
        </w:numPr>
      </w:pPr>
      <w:r>
        <w:t>Disponibilidad de docentes de calidad: La política de acompañamiento a docentes constituye una prioridad política del gobierno peruano. Se recomienda apoyar en la ampliación de la cobertura del acompañamiento.</w:t>
      </w:r>
    </w:p>
    <w:p w:rsidR="002A68BE" w:rsidRDefault="002A68BE" w:rsidP="002A68BE">
      <w:pPr>
        <w:pStyle w:val="bodyStyle1"/>
        <w:numPr>
          <w:ilvl w:val="0"/>
          <w:numId w:val="3"/>
        </w:numPr>
      </w:pPr>
      <w:r>
        <w:t>Diseño de modelos educativos para el ámbito rural: En esta línea, se recomienda apoyar el Plan Selva por ser de prioridad política, pero también técnica y presupuestal, en tanto el área encargada del proyecto es nueva y no cuenta con suficientes recursos técnicos y financieros.</w:t>
      </w:r>
    </w:p>
    <w:p w:rsidR="002A68BE" w:rsidRDefault="002A68BE" w:rsidP="002A68BE">
      <w:pPr>
        <w:pStyle w:val="bodyStyle1"/>
        <w:numPr>
          <w:ilvl w:val="0"/>
          <w:numId w:val="3"/>
        </w:numPr>
      </w:pPr>
      <w:r>
        <w:t>Pertinencia de la malla curricular: La contribución de la cooperación internacional en este campo, debería dirigirse al desarrollo del uso de tecnologías de información y comunicación en los modelos de enseñanza.</w:t>
      </w:r>
    </w:p>
    <w:p w:rsidR="002A68BE" w:rsidRDefault="002A68BE" w:rsidP="002A68BE">
      <w:pPr>
        <w:pStyle w:val="bodyStyle1"/>
        <w:numPr>
          <w:ilvl w:val="0"/>
          <w:numId w:val="3"/>
        </w:numPr>
      </w:pPr>
      <w:r w:rsidRPr="006A3A58">
        <w:t xml:space="preserve">Fortalecimiento de capacidades para la gestión: Se recomienda el apoyo de la cooperación internacional en el fortalecimiento de las capacidades de gestión escolar, por </w:t>
      </w:r>
      <w:r>
        <w:t xml:space="preserve">la necesidad de aporte técnico y por </w:t>
      </w:r>
      <w:r w:rsidRPr="006A3A58">
        <w:t>carecer del presupuesto suficiente</w:t>
      </w:r>
      <w:r>
        <w:t>. Otra área de necesidad en el tema de gestión es</w:t>
      </w:r>
      <w:r w:rsidRPr="006A3A58">
        <w:t xml:space="preserve"> la revisión de los roles y funciones de las instancias descentralizadas</w:t>
      </w:r>
      <w:r>
        <w:t xml:space="preserve"> de gobierno</w:t>
      </w:r>
      <w:r w:rsidRPr="006A3A58">
        <w:t>.</w:t>
      </w:r>
    </w:p>
    <w:p w:rsidR="002A68BE" w:rsidRPr="006A3A58" w:rsidRDefault="002A68BE" w:rsidP="002A68BE">
      <w:pPr>
        <w:pStyle w:val="bodyStyle1"/>
        <w:numPr>
          <w:ilvl w:val="0"/>
          <w:numId w:val="3"/>
        </w:numPr>
      </w:pPr>
      <w:r>
        <w:t>Desarrollo de nueva evidencia para la política pública: Área de trabajo que requiere de desarrollo técnico y aporte presupuestal, que puede ser fortalecida desde la cooperación internacional.</w:t>
      </w:r>
    </w:p>
    <w:p w:rsidR="002A68BE" w:rsidRDefault="002A68BE" w:rsidP="002A68BE">
      <w:pPr>
        <w:spacing w:line="240" w:lineRule="auto"/>
        <w:rPr>
          <w:lang w:val="es-PE"/>
        </w:rPr>
      </w:pPr>
      <w:r>
        <w:rPr>
          <w:lang w:val="es-PE"/>
        </w:rPr>
        <w:t>El desagregado de las áreas que se beneficiarían de un apoyo de la cooperación internacional se muestra en la siguiente ilustración.</w:t>
      </w:r>
      <w:r w:rsidRPr="001F7121">
        <w:rPr>
          <w:lang w:val="es-PE"/>
        </w:rPr>
        <w:br w:type="page"/>
      </w:r>
    </w:p>
    <w:p w:rsidR="002A68BE" w:rsidRPr="00B70339" w:rsidRDefault="002A68BE" w:rsidP="002A68BE">
      <w:pPr>
        <w:pStyle w:val="bodyStyle1"/>
        <w:rPr>
          <w:b/>
          <w:sz w:val="20"/>
          <w:szCs w:val="20"/>
        </w:rPr>
      </w:pPr>
      <w:r w:rsidRPr="00B70339">
        <w:rPr>
          <w:b/>
          <w:sz w:val="20"/>
          <w:szCs w:val="20"/>
        </w:rPr>
        <w:lastRenderedPageBreak/>
        <w:t xml:space="preserve">Ilustración </w:t>
      </w:r>
      <w:r w:rsidRPr="00B70339">
        <w:rPr>
          <w:b/>
          <w:sz w:val="20"/>
          <w:szCs w:val="20"/>
        </w:rPr>
        <w:fldChar w:fldCharType="begin"/>
      </w:r>
      <w:r w:rsidRPr="00B70339">
        <w:rPr>
          <w:b/>
          <w:sz w:val="20"/>
          <w:szCs w:val="20"/>
        </w:rPr>
        <w:instrText xml:space="preserve"> SEQ Ilustración \* ARABIC </w:instrText>
      </w:r>
      <w:r w:rsidRPr="00B70339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1</w:t>
      </w:r>
      <w:r w:rsidRPr="00B70339">
        <w:rPr>
          <w:b/>
          <w:sz w:val="20"/>
          <w:szCs w:val="20"/>
        </w:rPr>
        <w:fldChar w:fldCharType="end"/>
      </w:r>
      <w:r w:rsidRPr="00B70339">
        <w:rPr>
          <w:b/>
          <w:sz w:val="20"/>
          <w:szCs w:val="20"/>
        </w:rPr>
        <w:t>: Intervenciones propuestas a la cooperación externa para contribuir con el rendimiento educativo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817"/>
        <w:gridCol w:w="5804"/>
      </w:tblGrid>
      <w:tr w:rsidR="002A68BE" w:rsidRPr="007F4467" w:rsidTr="00901893">
        <w:trPr>
          <w:trHeight w:val="225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FFFFFF" w:themeColor="background1"/>
                <w:sz w:val="20"/>
                <w:lang w:val="es-ES" w:eastAsia="es-ES"/>
              </w:rPr>
              <w:t>Disponibilidad de docentes de calidad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•Revisión de la ley de carrera pública magisterial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noProof/>
                <w:color w:val="000000"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58012" wp14:editId="3A6F281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-81280</wp:posOffset>
                      </wp:positionV>
                      <wp:extent cx="390525" cy="121285"/>
                      <wp:effectExtent l="0" t="19050" r="47625" b="31115"/>
                      <wp:wrapNone/>
                      <wp:docPr id="2" name="Flecha der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212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BB1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2" o:spid="_x0000_s1026" type="#_x0000_t13" style="position:absolute;margin-left:.7pt;margin-top:-6.4pt;width:30.7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" adj="1824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•Fortalecimiento de política de acompañamiento docente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•Incremento de políticas para asegurar el bienestar docente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•Fortalecimiento de las condiciones para la formación inicial docente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FFFFFF" w:themeColor="background1"/>
                <w:sz w:val="20"/>
                <w:lang w:val="es-ES" w:eastAsia="es-ES"/>
              </w:rPr>
              <w:t>Diseño de modelos educativos en el ámbito rural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•Apoyo a la implementación del Plan Selva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noProof/>
                <w:color w:val="000000"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24722" wp14:editId="364FCD7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390525" cy="121285"/>
                      <wp:effectExtent l="0" t="19050" r="47625" b="31115"/>
                      <wp:wrapNone/>
                      <wp:docPr id="3" name="Flech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212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CBA50" id="Flecha derecha 3" o:spid="_x0000_s1026" type="#_x0000_t13" style="position:absolute;margin-left:-.25pt;margin-top:-.45pt;width:30.7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" adj="1824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•Propuesta pedagógica extendida a todas las lenguas nativas</w:t>
            </w:r>
          </w:p>
        </w:tc>
      </w:tr>
      <w:tr w:rsidR="002A68BE" w:rsidRPr="007F4467" w:rsidTr="00901893">
        <w:trPr>
          <w:trHeight w:val="510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•Diseño y ejecución de propuesta de servicios educativos de EIB en nivel secundaria</w:t>
            </w:r>
          </w:p>
        </w:tc>
      </w:tr>
      <w:tr w:rsidR="002A68BE" w:rsidRPr="007F4467" w:rsidTr="00901893">
        <w:trPr>
          <w:trHeight w:val="51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•Formalización de propuestas de servicios educativos alternativos para el contexto rural: CRFA, internados, etc.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2A68BE" w:rsidRPr="007F4467" w:rsidTr="00901893">
        <w:trPr>
          <w:trHeight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FFFFFF" w:themeColor="background1"/>
                <w:sz w:val="20"/>
                <w:lang w:val="es-ES" w:eastAsia="es-ES"/>
              </w:rPr>
              <w:t>Pertinencia de la malla curricular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noProof/>
                <w:color w:val="000000"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899669" wp14:editId="6F5C079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11430</wp:posOffset>
                      </wp:positionV>
                      <wp:extent cx="390525" cy="121285"/>
                      <wp:effectExtent l="0" t="19050" r="47625" b="31115"/>
                      <wp:wrapNone/>
                      <wp:docPr id="4" name="Flecha der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212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9117E" id="Flecha derecha 4" o:spid="_x0000_s1026" type="#_x0000_t13" style="position:absolute;margin-left:.7pt;margin-top:.9pt;width:30.7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" adj="1824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•Incorporación de desarrollo de habilidades blandas en la propuesta pedagógica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•Fortalecimiento del componente de inglés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•Incorporación de TIC en los procesos de enseñanza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FFFFFF" w:themeColor="background1"/>
                <w:sz w:val="20"/>
                <w:lang w:val="es-ES" w:eastAsia="es-ES"/>
              </w:rPr>
              <w:t>Fortalecimiento de capacidades para la gestión escolar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•Revisión de estructura administrativa de las DRE y UGEL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noProof/>
                <w:color w:val="000000"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D318F" wp14:editId="018309D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-130810</wp:posOffset>
                      </wp:positionV>
                      <wp:extent cx="390525" cy="121285"/>
                      <wp:effectExtent l="0" t="19050" r="47625" b="31115"/>
                      <wp:wrapNone/>
                      <wp:docPr id="1996" name="Flecha derecha 1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212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52EAA" id="Flecha derecha 1996" o:spid="_x0000_s1026" type="#_x0000_t13" style="position:absolute;margin-left:-.25pt;margin-top:-10.3pt;width:30.7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" adj="1824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•Incremento de presupuesto destinado a capacitación de directores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•Desarrollo de herramientas de gestión que incorporen TIC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2A68BE" w:rsidRPr="007F4467" w:rsidTr="00901893">
        <w:trPr>
          <w:trHeight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FFFFFF" w:themeColor="background1"/>
                <w:sz w:val="20"/>
                <w:lang w:val="es-ES" w:eastAsia="es-ES"/>
              </w:rPr>
              <w:t>Seguimiento, monitoreo y fiscalización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noProof/>
                <w:color w:val="000000"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1DADF0" wp14:editId="5CA69D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27305</wp:posOffset>
                      </wp:positionV>
                      <wp:extent cx="390525" cy="121285"/>
                      <wp:effectExtent l="0" t="19050" r="47625" b="31115"/>
                      <wp:wrapNone/>
                      <wp:docPr id="6" name="Flecha der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212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A72C5" id="Flecha derecha 6" o:spid="_x0000_s1026" type="#_x0000_t13" style="position:absolute;margin-left:-.25pt;margin-top:2.15pt;width:30.7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" adj="1824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•Actualización y consolidación de sistemas de información de las instituciones educativas</w:t>
            </w:r>
          </w:p>
        </w:tc>
      </w:tr>
      <w:tr w:rsidR="002A68BE" w:rsidRPr="007F4467" w:rsidTr="00901893">
        <w:trPr>
          <w:trHeight w:val="51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•Diseño de mecanismos de seguimiento y monitoreo con indicadores verificables periódicamente</w:t>
            </w:r>
          </w:p>
        </w:tc>
      </w:tr>
      <w:tr w:rsidR="002A68BE" w:rsidRPr="007F4467" w:rsidTr="00901893">
        <w:trPr>
          <w:trHeight w:val="51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•Fortalecimiento de mecanismos de fiscalización para la creación de colegios privados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FFFFFF" w:themeColor="background1"/>
                <w:sz w:val="20"/>
                <w:lang w:val="es-ES" w:eastAsia="es-ES"/>
              </w:rPr>
              <w:t>Desarrollo de nueva evidencia para la política pública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•Evidencia del impacto de TIC en el rendimiento educativo</w:t>
            </w:r>
          </w:p>
        </w:tc>
      </w:tr>
      <w:tr w:rsidR="002A68BE" w:rsidRPr="007F4467" w:rsidTr="00901893">
        <w:trPr>
          <w:trHeight w:val="510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noProof/>
                <w:color w:val="000000"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F2C171" wp14:editId="41F3F5D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-201295</wp:posOffset>
                      </wp:positionV>
                      <wp:extent cx="390525" cy="121285"/>
                      <wp:effectExtent l="0" t="19050" r="47625" b="31115"/>
                      <wp:wrapNone/>
                      <wp:docPr id="7" name="Flecha der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212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84EDA" id="Flecha derecha 7" o:spid="_x0000_s1026" type="#_x0000_t13" style="position:absolute;margin-left:-.25pt;margin-top:-15.85pt;width:30.7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" adj="1824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•Evidencia del impacto de la implementación de servicios educativos de EIB</w:t>
            </w:r>
          </w:p>
        </w:tc>
      </w:tr>
      <w:tr w:rsidR="002A68BE" w:rsidRPr="007F4467" w:rsidTr="00901893">
        <w:trPr>
          <w:trHeight w:val="25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68BE" w:rsidRPr="00882FD0" w:rsidRDefault="002A68BE" w:rsidP="00901893">
            <w:pPr>
              <w:spacing w:line="240" w:lineRule="auto"/>
              <w:rPr>
                <w:rFonts w:eastAsia="Times New Roman"/>
                <w:color w:val="000000"/>
                <w:sz w:val="20"/>
                <w:lang w:val="es-ES" w:eastAsia="es-ES"/>
              </w:rPr>
            </w:pPr>
            <w:r w:rsidRPr="00882FD0">
              <w:rPr>
                <w:rFonts w:eastAsia="Times New Roman"/>
                <w:color w:val="000000"/>
                <w:sz w:val="20"/>
                <w:lang w:val="es-ES" w:eastAsia="es-ES"/>
              </w:rPr>
              <w:t>•Estudio de oferta y demanda de docentes y de formación en docencia</w:t>
            </w:r>
          </w:p>
        </w:tc>
      </w:tr>
    </w:tbl>
    <w:p w:rsidR="002A68BE" w:rsidRPr="0046430E" w:rsidRDefault="002A68BE" w:rsidP="002A68BE">
      <w:pPr>
        <w:pStyle w:val="bodyStyle1"/>
        <w:rPr>
          <w:lang w:val="es-ES"/>
        </w:rPr>
      </w:pPr>
    </w:p>
    <w:p w:rsidR="00CB4670" w:rsidRPr="002A68BE" w:rsidRDefault="00CB4670">
      <w:pPr>
        <w:rPr>
          <w:lang w:val="es-ES"/>
        </w:rPr>
      </w:pPr>
    </w:p>
    <w:sectPr w:rsidR="00CB4670" w:rsidRPr="002A6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042"/>
    <w:multiLevelType w:val="hybridMultilevel"/>
    <w:tmpl w:val="54D6E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3E2B"/>
    <w:multiLevelType w:val="hybridMultilevel"/>
    <w:tmpl w:val="53CC2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0B13"/>
    <w:multiLevelType w:val="hybridMultilevel"/>
    <w:tmpl w:val="2DA0A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BE"/>
    <w:rsid w:val="002A68BE"/>
    <w:rsid w:val="00C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4A45E-BE12-44B1-9926-F27252FF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BE"/>
    <w:pPr>
      <w:spacing w:after="0" w:line="220" w:lineRule="atLeast"/>
    </w:pPr>
    <w:rPr>
      <w:rFonts w:ascii="Gill Sans MT" w:eastAsia="Calibri" w:hAnsi="Gill Sans MT" w:cs="Times New Roman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Style1">
    <w:name w:val="bodyStyle1"/>
    <w:basedOn w:val="Normal"/>
    <w:link w:val="bodyStyle1Char"/>
    <w:qFormat/>
    <w:rsid w:val="002A68BE"/>
    <w:pPr>
      <w:spacing w:before="120" w:after="120" w:line="240" w:lineRule="auto"/>
    </w:pPr>
    <w:rPr>
      <w:rFonts w:cs="Arial"/>
      <w:color w:val="000000"/>
      <w:szCs w:val="22"/>
      <w:lang w:val="es-PE" w:eastAsia="x-none"/>
    </w:rPr>
  </w:style>
  <w:style w:type="character" w:customStyle="1" w:styleId="bodyStyle1Char">
    <w:name w:val="bodyStyle1 Char"/>
    <w:link w:val="bodyStyle1"/>
    <w:rsid w:val="002A68BE"/>
    <w:rPr>
      <w:rFonts w:ascii="Gill Sans MT" w:eastAsia="Calibri" w:hAnsi="Gill Sans MT" w:cs="Arial"/>
      <w:color w:val="000000"/>
      <w:lang w:eastAsia="x-none"/>
    </w:rPr>
  </w:style>
  <w:style w:type="paragraph" w:customStyle="1" w:styleId="Head1alt">
    <w:name w:val="Head1 alt"/>
    <w:basedOn w:val="Normal"/>
    <w:link w:val="Head1altChar"/>
    <w:qFormat/>
    <w:rsid w:val="002A68BE"/>
    <w:rPr>
      <w:caps/>
      <w:color w:val="002F6C"/>
      <w:sz w:val="48"/>
      <w:szCs w:val="48"/>
    </w:rPr>
  </w:style>
  <w:style w:type="paragraph" w:customStyle="1" w:styleId="Head2alt">
    <w:name w:val="Head2 alt"/>
    <w:basedOn w:val="Normal"/>
    <w:link w:val="Head2altChar"/>
    <w:qFormat/>
    <w:rsid w:val="002A68BE"/>
    <w:pPr>
      <w:pBdr>
        <w:bottom w:val="single" w:sz="4" w:space="1" w:color="auto"/>
      </w:pBdr>
      <w:spacing w:before="200" w:after="120" w:line="240" w:lineRule="auto"/>
    </w:pPr>
    <w:rPr>
      <w:b/>
      <w:caps/>
      <w:color w:val="002F6C"/>
      <w:sz w:val="24"/>
      <w:szCs w:val="24"/>
      <w:lang w:val="es-PE"/>
    </w:rPr>
  </w:style>
  <w:style w:type="character" w:customStyle="1" w:styleId="Head1altChar">
    <w:name w:val="Head1 alt Char"/>
    <w:link w:val="Head1alt"/>
    <w:rsid w:val="002A68BE"/>
    <w:rPr>
      <w:rFonts w:ascii="Gill Sans MT" w:eastAsia="Calibri" w:hAnsi="Gill Sans MT" w:cs="Times New Roman"/>
      <w:caps/>
      <w:color w:val="002F6C"/>
      <w:sz w:val="48"/>
      <w:szCs w:val="48"/>
      <w:lang w:val="en-US"/>
    </w:rPr>
  </w:style>
  <w:style w:type="character" w:customStyle="1" w:styleId="Head2altChar">
    <w:name w:val="Head2 alt Char"/>
    <w:link w:val="Head2alt"/>
    <w:rsid w:val="002A68BE"/>
    <w:rPr>
      <w:rFonts w:ascii="Gill Sans MT" w:eastAsia="Calibri" w:hAnsi="Gill Sans MT" w:cs="Times New Roman"/>
      <w:b/>
      <w:caps/>
      <w:color w:val="002F6C"/>
      <w:sz w:val="24"/>
      <w:szCs w:val="24"/>
    </w:rPr>
  </w:style>
  <w:style w:type="paragraph" w:customStyle="1" w:styleId="headline1">
    <w:name w:val="headline1"/>
    <w:basedOn w:val="Normal"/>
    <w:link w:val="headline1Char"/>
    <w:qFormat/>
    <w:rsid w:val="002A68BE"/>
    <w:pPr>
      <w:spacing w:line="720" w:lineRule="atLeast"/>
      <w:outlineLvl w:val="0"/>
    </w:pPr>
    <w:rPr>
      <w:rFonts w:ascii="Arial" w:hAnsi="Arial" w:cs="Arial"/>
      <w:caps/>
      <w:color w:val="002A6C"/>
      <w:sz w:val="48"/>
      <w:szCs w:val="48"/>
      <w:lang w:val="x-none" w:eastAsia="x-none"/>
    </w:rPr>
  </w:style>
  <w:style w:type="character" w:customStyle="1" w:styleId="headline1Char">
    <w:name w:val="headline1 Char"/>
    <w:link w:val="headline1"/>
    <w:rsid w:val="002A68BE"/>
    <w:rPr>
      <w:rFonts w:ascii="Arial" w:eastAsia="Calibri" w:hAnsi="Arial" w:cs="Arial"/>
      <w:caps/>
      <w:color w:val="002A6C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Consultor4</dc:creator>
  <cp:keywords/>
  <dc:description/>
  <cp:lastModifiedBy>Consultor4</cp:lastModifiedBy>
  <cp:revision>1</cp:revision>
  <dcterms:created xsi:type="dcterms:W3CDTF">2017-06-02T15:32:00Z</dcterms:created>
  <dcterms:modified xsi:type="dcterms:W3CDTF">2017-06-02T15:35:00Z</dcterms:modified>
</cp:coreProperties>
</file>